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AA" w:rsidRPr="00A9575C" w:rsidRDefault="00A63FEB" w:rsidP="001E1084">
      <w:pPr>
        <w:spacing w:after="230" w:line="276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PREZYDENT MIASTA SZCZECIN</w:t>
      </w:r>
    </w:p>
    <w:p w:rsidR="00214941" w:rsidRDefault="00A63FEB" w:rsidP="00214941">
      <w:pPr>
        <w:tabs>
          <w:tab w:val="center" w:pos="7803"/>
        </w:tabs>
        <w:spacing w:after="0" w:line="276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WOŚr-Vll.6220.1.</w:t>
      </w:r>
      <w:r w:rsidR="00DB7C69" w:rsidRPr="00A9575C">
        <w:rPr>
          <w:rFonts w:ascii="Arial" w:hAnsi="Arial" w:cs="Arial"/>
          <w:sz w:val="18"/>
          <w:szCs w:val="18"/>
        </w:rPr>
        <w:t>8.2023.KM</w:t>
      </w:r>
      <w:r w:rsidRPr="00A9575C">
        <w:rPr>
          <w:rFonts w:ascii="Arial" w:hAnsi="Arial" w:cs="Arial"/>
          <w:sz w:val="18"/>
          <w:szCs w:val="18"/>
        </w:rPr>
        <w:tab/>
        <w:t xml:space="preserve">Szczecin, </w:t>
      </w:r>
      <w:r w:rsidR="00DB7C69" w:rsidRPr="00A9575C">
        <w:rPr>
          <w:rFonts w:ascii="Arial" w:hAnsi="Arial" w:cs="Arial"/>
          <w:sz w:val="18"/>
          <w:szCs w:val="18"/>
        </w:rPr>
        <w:t>2023-05-</w:t>
      </w:r>
      <w:r w:rsidR="00AE64E1">
        <w:rPr>
          <w:rFonts w:ascii="Arial" w:hAnsi="Arial" w:cs="Arial"/>
          <w:sz w:val="18"/>
          <w:szCs w:val="18"/>
        </w:rPr>
        <w:t>31</w:t>
      </w:r>
    </w:p>
    <w:p w:rsidR="00214941" w:rsidRDefault="00214941" w:rsidP="00214941">
      <w:pPr>
        <w:tabs>
          <w:tab w:val="center" w:pos="7803"/>
        </w:tabs>
        <w:spacing w:after="0" w:line="276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</w:p>
    <w:p w:rsidR="00214941" w:rsidRDefault="00653ADD" w:rsidP="00214941">
      <w:pPr>
        <w:tabs>
          <w:tab w:val="center" w:pos="7803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A9575C">
        <w:rPr>
          <w:rFonts w:ascii="Arial" w:hAnsi="Arial" w:cs="Arial"/>
          <w:b/>
          <w:sz w:val="18"/>
          <w:szCs w:val="18"/>
        </w:rPr>
        <w:t>DECYZJA</w:t>
      </w:r>
    </w:p>
    <w:p w:rsidR="00B94EAA" w:rsidRPr="00214941" w:rsidRDefault="00116817" w:rsidP="00214941">
      <w:pPr>
        <w:tabs>
          <w:tab w:val="center" w:pos="7803"/>
        </w:tabs>
        <w:spacing w:after="12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b/>
          <w:sz w:val="18"/>
          <w:szCs w:val="18"/>
        </w:rPr>
        <w:t xml:space="preserve">o środowiskowych </w:t>
      </w:r>
      <w:r w:rsidR="00A63FEB" w:rsidRPr="00A9575C">
        <w:rPr>
          <w:rFonts w:ascii="Arial" w:hAnsi="Arial" w:cs="Arial"/>
          <w:b/>
          <w:sz w:val="18"/>
          <w:szCs w:val="18"/>
        </w:rPr>
        <w:t>uwarunkowaniach</w:t>
      </w:r>
    </w:p>
    <w:p w:rsidR="00B94EAA" w:rsidRPr="00A9575C" w:rsidRDefault="00A63FEB" w:rsidP="00F30A74">
      <w:pPr>
        <w:spacing w:after="120" w:line="276" w:lineRule="auto"/>
        <w:ind w:left="14" w:right="14"/>
        <w:rPr>
          <w:rFonts w:ascii="Arial" w:hAnsi="Arial" w:cs="Arial"/>
          <w:b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Na podstawie art. 71 ust. 2, art. 75 ust. 1 pkt 4 oraz art. 84, art. 85 ust. 1 i ust. 2 pkt 2 ustawy z dnia 3 października 2008 r. o udostępnianiu informacji o środowisku i jego ochronie, udziale społeczeństwa w ochronie środowiska oraz o ocenach oddziaływania na środowisko (Dz. U. z 2022 r., poz. 1029</w:t>
      </w:r>
      <w:r w:rsidR="00DB7C69" w:rsidRPr="00A9575C">
        <w:rPr>
          <w:rFonts w:ascii="Arial" w:hAnsi="Arial" w:cs="Arial"/>
          <w:sz w:val="18"/>
          <w:szCs w:val="18"/>
        </w:rPr>
        <w:t xml:space="preserve"> z późń. zm</w:t>
      </w:r>
      <w:r w:rsidRPr="00A9575C">
        <w:rPr>
          <w:rFonts w:ascii="Arial" w:hAnsi="Arial" w:cs="Arial"/>
          <w:sz w:val="18"/>
          <w:szCs w:val="18"/>
        </w:rPr>
        <w:t xml:space="preserve">.), zwaną dalej ustawą ooś, w związku z art. 104 ustawy z dnia 14 czerwca 1960 r. Kodeks postępowania </w:t>
      </w:r>
      <w:r w:rsidR="005B1348">
        <w:rPr>
          <w:rFonts w:ascii="Arial" w:hAnsi="Arial" w:cs="Arial"/>
          <w:sz w:val="18"/>
          <w:szCs w:val="18"/>
        </w:rPr>
        <w:t xml:space="preserve">administracyjnego </w:t>
      </w:r>
      <w:r w:rsidR="00F30A74">
        <w:rPr>
          <w:rFonts w:ascii="Arial" w:hAnsi="Arial" w:cs="Arial"/>
          <w:sz w:val="18"/>
          <w:szCs w:val="18"/>
        </w:rPr>
        <w:t>(Dz. U. z 2023 r., poz. 775 z późń. zm.</w:t>
      </w:r>
      <w:r w:rsidRPr="00A9575C">
        <w:rPr>
          <w:rFonts w:ascii="Arial" w:hAnsi="Arial" w:cs="Arial"/>
          <w:sz w:val="18"/>
          <w:szCs w:val="18"/>
        </w:rPr>
        <w:t xml:space="preserve">), zwany dalej kpa, po rozpatrzeniu wniosku </w:t>
      </w:r>
      <w:r w:rsidR="00A9575C" w:rsidRPr="00A9575C">
        <w:rPr>
          <w:rFonts w:ascii="Arial" w:hAnsi="Arial" w:cs="Arial"/>
          <w:sz w:val="18"/>
          <w:szCs w:val="18"/>
        </w:rPr>
        <w:t xml:space="preserve">Elemental New Technologies Sp. z o. o. w sprawie wydania decyzji o środowiskowych uwarunkowaniach dla przedsięwzięcia pn.: „Budowa punktu zbierania </w:t>
      </w:r>
      <w:r w:rsidR="00F30A74">
        <w:rPr>
          <w:rFonts w:ascii="Arial" w:hAnsi="Arial" w:cs="Arial"/>
          <w:sz w:val="18"/>
          <w:szCs w:val="18"/>
        </w:rPr>
        <w:br/>
      </w:r>
      <w:r w:rsidR="00A9575C" w:rsidRPr="00A9575C">
        <w:rPr>
          <w:rFonts w:ascii="Arial" w:hAnsi="Arial" w:cs="Arial"/>
          <w:sz w:val="18"/>
          <w:szCs w:val="18"/>
        </w:rPr>
        <w:t>i wstępnego przetwarzania baterii przy ulicy Narzędziowej 15 na działce nr ew. 66/1 obręb 4058 w Szczecinie”</w:t>
      </w:r>
    </w:p>
    <w:p w:rsidR="00B94EAA" w:rsidRPr="00A9575C" w:rsidRDefault="00653ADD" w:rsidP="00F30A74">
      <w:pPr>
        <w:pStyle w:val="Nagwek1"/>
        <w:numPr>
          <w:ilvl w:val="0"/>
          <w:numId w:val="0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A9575C">
        <w:rPr>
          <w:rFonts w:ascii="Arial" w:hAnsi="Arial" w:cs="Arial"/>
          <w:b/>
          <w:sz w:val="18"/>
          <w:szCs w:val="18"/>
        </w:rPr>
        <w:t>stwierdzam</w:t>
      </w:r>
    </w:p>
    <w:p w:rsidR="00B94EAA" w:rsidRDefault="00A63FEB" w:rsidP="00F30A74">
      <w:pPr>
        <w:spacing w:after="0" w:line="276" w:lineRule="auto"/>
        <w:ind w:left="14" w:right="14"/>
        <w:rPr>
          <w:rFonts w:ascii="Arial" w:hAnsi="Arial" w:cs="Arial"/>
          <w:sz w:val="18"/>
          <w:szCs w:val="18"/>
        </w:rPr>
      </w:pPr>
      <w:r w:rsidRPr="005B1348">
        <w:rPr>
          <w:rFonts w:ascii="Arial" w:hAnsi="Arial" w:cs="Arial"/>
          <w:sz w:val="18"/>
          <w:szCs w:val="18"/>
        </w:rPr>
        <w:t xml:space="preserve">brak potrzeby przeprowadzenia oceny oddziaływania na środowisko dla przedsięwzięcia pn.: </w:t>
      </w:r>
      <w:r w:rsidR="00A9575C" w:rsidRPr="005B1348">
        <w:rPr>
          <w:rFonts w:ascii="Arial" w:hAnsi="Arial" w:cs="Arial"/>
          <w:sz w:val="18"/>
          <w:szCs w:val="18"/>
        </w:rPr>
        <w:t xml:space="preserve">„Budowa punktu zbierania i wstępnego przetwarzania baterii przy ulicy Narzędziowej 15 na działce nr ew. 66/1 obręb 4058 </w:t>
      </w:r>
      <w:r w:rsidR="00E861B7" w:rsidRPr="005B1348">
        <w:rPr>
          <w:rFonts w:ascii="Arial" w:hAnsi="Arial" w:cs="Arial"/>
          <w:sz w:val="18"/>
          <w:szCs w:val="18"/>
        </w:rPr>
        <w:br/>
      </w:r>
      <w:r w:rsidR="00A9575C" w:rsidRPr="005B1348">
        <w:rPr>
          <w:rFonts w:ascii="Arial" w:hAnsi="Arial" w:cs="Arial"/>
          <w:sz w:val="18"/>
          <w:szCs w:val="18"/>
        </w:rPr>
        <w:t xml:space="preserve">w Szczecinie” </w:t>
      </w:r>
      <w:r w:rsidR="005B1348" w:rsidRPr="005B1348">
        <w:rPr>
          <w:rFonts w:ascii="Arial" w:hAnsi="Arial" w:cs="Arial"/>
          <w:sz w:val="18"/>
          <w:szCs w:val="18"/>
        </w:rPr>
        <w:t>i jednocześnie określam warunki realizacji planowanego przedsięwzięcia na środowisko:</w:t>
      </w:r>
    </w:p>
    <w:p w:rsidR="005B1348" w:rsidRDefault="005B1348" w:rsidP="00F30A74">
      <w:pPr>
        <w:spacing w:after="0" w:line="276" w:lineRule="auto"/>
        <w:ind w:left="14" w:right="14"/>
        <w:rPr>
          <w:rFonts w:ascii="Arial" w:hAnsi="Arial" w:cs="Arial"/>
          <w:sz w:val="18"/>
          <w:szCs w:val="18"/>
        </w:rPr>
      </w:pPr>
    </w:p>
    <w:p w:rsidR="00217613" w:rsidRDefault="001E0E10" w:rsidP="00F30A74">
      <w:pPr>
        <w:pStyle w:val="Tekstpodstawowy3"/>
        <w:numPr>
          <w:ilvl w:val="0"/>
          <w:numId w:val="25"/>
        </w:numPr>
        <w:spacing w:line="276" w:lineRule="auto"/>
        <w:ind w:left="284" w:right="1" w:hanging="284"/>
        <w:jc w:val="both"/>
        <w:rPr>
          <w:rFonts w:cs="Arial"/>
          <w:color w:val="000000" w:themeColor="text1"/>
          <w:sz w:val="18"/>
          <w:szCs w:val="18"/>
        </w:rPr>
      </w:pPr>
      <w:r w:rsidRPr="00217613">
        <w:rPr>
          <w:rFonts w:cs="Arial"/>
          <w:color w:val="000000" w:themeColor="text1"/>
          <w:sz w:val="18"/>
          <w:szCs w:val="18"/>
        </w:rPr>
        <w:t>W trakcie budowy należy korzystać z maszyn, urządzeń oraz pojazdó</w:t>
      </w:r>
      <w:r w:rsidR="00217613">
        <w:rPr>
          <w:rFonts w:cs="Arial"/>
          <w:color w:val="000000" w:themeColor="text1"/>
          <w:sz w:val="18"/>
          <w:szCs w:val="18"/>
        </w:rPr>
        <w:t>w sprawnych technicznie.</w:t>
      </w:r>
    </w:p>
    <w:p w:rsidR="00217613" w:rsidRDefault="001E0E10" w:rsidP="00F30A74">
      <w:pPr>
        <w:pStyle w:val="Tekstpodstawowy3"/>
        <w:numPr>
          <w:ilvl w:val="0"/>
          <w:numId w:val="25"/>
        </w:numPr>
        <w:spacing w:line="276" w:lineRule="auto"/>
        <w:ind w:left="284" w:right="1" w:hanging="284"/>
        <w:jc w:val="both"/>
        <w:rPr>
          <w:rFonts w:cs="Arial"/>
          <w:color w:val="000000" w:themeColor="text1"/>
          <w:sz w:val="18"/>
          <w:szCs w:val="18"/>
        </w:rPr>
      </w:pPr>
      <w:r w:rsidRPr="00217613">
        <w:rPr>
          <w:rFonts w:cs="Arial"/>
          <w:color w:val="000000" w:themeColor="text1"/>
          <w:sz w:val="18"/>
          <w:szCs w:val="18"/>
        </w:rPr>
        <w:t xml:space="preserve">Podczas </w:t>
      </w:r>
      <w:r w:rsidR="00E0403C">
        <w:rPr>
          <w:rFonts w:cs="Arial"/>
          <w:color w:val="000000" w:themeColor="text1"/>
          <w:sz w:val="18"/>
          <w:szCs w:val="18"/>
        </w:rPr>
        <w:t xml:space="preserve">trwania prac budowlanych </w:t>
      </w:r>
      <w:r w:rsidRPr="00217613">
        <w:rPr>
          <w:rFonts w:cs="Arial"/>
          <w:color w:val="000000" w:themeColor="text1"/>
          <w:sz w:val="18"/>
          <w:szCs w:val="18"/>
        </w:rPr>
        <w:t>nie dopuścić do przedostania się do wód powierzchniowych i ziemi substancji ropopochodnych z maszyn, urządzeń i środków transportu oraz innych substancji szkodliwych, natomiast w przypadku wycieku tych substancji należy zastosować sorbent lub płyn do neutralizacji cieczy ropopochodnych, a zanieczyszczony materiał przekazać do unieszkodliwienia.</w:t>
      </w:r>
    </w:p>
    <w:p w:rsidR="00217613" w:rsidRDefault="00E0403C" w:rsidP="00F30A74">
      <w:pPr>
        <w:pStyle w:val="Tekstpodstawowy3"/>
        <w:numPr>
          <w:ilvl w:val="0"/>
          <w:numId w:val="25"/>
        </w:numPr>
        <w:spacing w:line="276" w:lineRule="auto"/>
        <w:ind w:left="284" w:right="1" w:hanging="284"/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Podłoże zaplecza budowy </w:t>
      </w:r>
      <w:r w:rsidR="001E0E10" w:rsidRPr="00217613">
        <w:rPr>
          <w:rFonts w:cs="Arial"/>
          <w:color w:val="000000" w:themeColor="text1"/>
          <w:sz w:val="18"/>
          <w:szCs w:val="18"/>
        </w:rPr>
        <w:t xml:space="preserve">zabezpieczyć przed ewentualnym wyciekiem substancji ropopochodnych </w:t>
      </w:r>
      <w:r w:rsidR="00217613">
        <w:rPr>
          <w:rFonts w:cs="Arial"/>
          <w:color w:val="000000" w:themeColor="text1"/>
          <w:sz w:val="18"/>
          <w:szCs w:val="18"/>
        </w:rPr>
        <w:br/>
      </w:r>
      <w:r w:rsidR="001E0E10" w:rsidRPr="00217613">
        <w:rPr>
          <w:rFonts w:cs="Arial"/>
          <w:color w:val="000000" w:themeColor="text1"/>
          <w:sz w:val="18"/>
          <w:szCs w:val="18"/>
        </w:rPr>
        <w:t xml:space="preserve">z urządzeń i maszyn oraz środków transportu, a w miejsca </w:t>
      </w:r>
      <w:r w:rsidR="00217613" w:rsidRPr="00217613">
        <w:rPr>
          <w:rFonts w:cs="Arial"/>
          <w:color w:val="000000" w:themeColor="text1"/>
          <w:sz w:val="18"/>
          <w:szCs w:val="18"/>
        </w:rPr>
        <w:t>przeznaczone do składowania substancji podatnych na przenikanie do gleby należy położyć materiały izolacyjne.</w:t>
      </w:r>
    </w:p>
    <w:p w:rsidR="00217613" w:rsidRDefault="00217613" w:rsidP="00F30A74">
      <w:pPr>
        <w:pStyle w:val="Tekstpodstawowy3"/>
        <w:numPr>
          <w:ilvl w:val="0"/>
          <w:numId w:val="25"/>
        </w:numPr>
        <w:spacing w:line="276" w:lineRule="auto"/>
        <w:ind w:left="284" w:right="1" w:hanging="284"/>
        <w:jc w:val="both"/>
        <w:rPr>
          <w:rFonts w:cs="Arial"/>
          <w:color w:val="000000" w:themeColor="text1"/>
          <w:sz w:val="18"/>
          <w:szCs w:val="18"/>
        </w:rPr>
      </w:pPr>
      <w:r w:rsidRPr="00217613">
        <w:rPr>
          <w:rFonts w:cs="Arial"/>
          <w:color w:val="000000" w:themeColor="text1"/>
          <w:sz w:val="18"/>
          <w:szCs w:val="18"/>
        </w:rPr>
        <w:t>Inwestycje w fazi</w:t>
      </w:r>
      <w:r w:rsidR="00F30A74">
        <w:rPr>
          <w:rFonts w:cs="Arial"/>
          <w:color w:val="000000" w:themeColor="text1"/>
          <w:sz w:val="18"/>
          <w:szCs w:val="18"/>
        </w:rPr>
        <w:t xml:space="preserve">e budowy i eksploatacji </w:t>
      </w:r>
      <w:r w:rsidRPr="00217613">
        <w:rPr>
          <w:rFonts w:cs="Arial"/>
          <w:color w:val="000000" w:themeColor="text1"/>
          <w:sz w:val="18"/>
          <w:szCs w:val="18"/>
        </w:rPr>
        <w:t>prowadzić w sposób wykluczający pogorszenie stanu wód</w:t>
      </w:r>
      <w:r>
        <w:rPr>
          <w:rFonts w:cs="Arial"/>
          <w:color w:val="000000" w:themeColor="text1"/>
          <w:sz w:val="18"/>
          <w:szCs w:val="18"/>
        </w:rPr>
        <w:t>, przy zastosowaniu środków (procedur i technologii) zapobiegających rozprzestrzenianiu się i likwidujących ewentualne zanieczyszczenia powstałe w trakcie jej realizacji</w:t>
      </w:r>
      <w:r w:rsidR="00E0403C">
        <w:rPr>
          <w:rFonts w:cs="Arial"/>
          <w:color w:val="000000" w:themeColor="text1"/>
          <w:sz w:val="18"/>
          <w:szCs w:val="18"/>
        </w:rPr>
        <w:t>.</w:t>
      </w:r>
    </w:p>
    <w:p w:rsidR="00E0403C" w:rsidRDefault="00B60866" w:rsidP="00F30A74">
      <w:pPr>
        <w:pStyle w:val="Tekstpodstawowy3"/>
        <w:numPr>
          <w:ilvl w:val="0"/>
          <w:numId w:val="25"/>
        </w:numPr>
        <w:spacing w:line="276" w:lineRule="auto"/>
        <w:ind w:left="284" w:right="1" w:hanging="284"/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Boksy, w których będzie odbywało się przetwarzanie baterii zabezpieczyć zadaszeniem w celu ograniczenia wpływu czynników atmosferycznych.  </w:t>
      </w:r>
    </w:p>
    <w:p w:rsidR="00B60866" w:rsidRPr="00217613" w:rsidRDefault="00B60866" w:rsidP="00F30A74">
      <w:pPr>
        <w:pStyle w:val="Tekstpodstawowy3"/>
        <w:numPr>
          <w:ilvl w:val="0"/>
          <w:numId w:val="25"/>
        </w:numPr>
        <w:spacing w:line="276" w:lineRule="auto"/>
        <w:ind w:left="284" w:right="1" w:hanging="284"/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Proces </w:t>
      </w:r>
      <w:r w:rsidR="0011058D">
        <w:rPr>
          <w:rFonts w:cs="Arial"/>
          <w:color w:val="000000" w:themeColor="text1"/>
          <w:sz w:val="18"/>
          <w:szCs w:val="18"/>
        </w:rPr>
        <w:t>ręcznego demontażu oraz ewentualnego rozładowywania zanurzeniowego w wannie z elektrolitem wykonywać wyłącznie na utwardzonym, szczelnym podłożu.</w:t>
      </w:r>
    </w:p>
    <w:p w:rsidR="001E0E10" w:rsidRDefault="001E0E10" w:rsidP="00217613">
      <w:pPr>
        <w:pStyle w:val="Tekstpodstawowy3"/>
        <w:spacing w:line="276" w:lineRule="auto"/>
        <w:ind w:right="1"/>
        <w:jc w:val="center"/>
        <w:rPr>
          <w:rFonts w:cs="Arial"/>
          <w:b/>
          <w:sz w:val="18"/>
          <w:szCs w:val="18"/>
        </w:rPr>
      </w:pPr>
    </w:p>
    <w:p w:rsidR="00B94EAA" w:rsidRPr="00A9575C" w:rsidRDefault="00A63FEB" w:rsidP="00217613">
      <w:pPr>
        <w:pStyle w:val="Tekstpodstawowy3"/>
        <w:spacing w:after="120" w:line="280" w:lineRule="exact"/>
        <w:jc w:val="center"/>
        <w:rPr>
          <w:rFonts w:cs="Arial"/>
          <w:b/>
          <w:sz w:val="18"/>
          <w:szCs w:val="18"/>
        </w:rPr>
      </w:pPr>
      <w:r w:rsidRPr="00A9575C">
        <w:rPr>
          <w:rFonts w:cs="Arial"/>
          <w:b/>
          <w:sz w:val="18"/>
          <w:szCs w:val="18"/>
        </w:rPr>
        <w:t>Uzasadnienie</w:t>
      </w:r>
    </w:p>
    <w:p w:rsidR="00E861B7" w:rsidRPr="00A9575C" w:rsidRDefault="00E861B7" w:rsidP="00E861B7">
      <w:pPr>
        <w:spacing w:line="276" w:lineRule="auto"/>
        <w:ind w:left="14" w:righ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Elemental New Technologies Sp. z o. o z siedzibą w Grodzisku Mazowieckim, wnioskiem z dnia 31.01.2023 r.</w:t>
      </w:r>
      <w:r w:rsidR="00A63FEB" w:rsidRPr="00A9575C">
        <w:rPr>
          <w:rFonts w:ascii="Arial" w:hAnsi="Arial" w:cs="Arial"/>
          <w:sz w:val="18"/>
          <w:szCs w:val="18"/>
        </w:rPr>
        <w:t xml:space="preserve"> wystąpiła o wydanie decyzji o środowiskowych uwarunkow</w:t>
      </w:r>
      <w:r>
        <w:rPr>
          <w:rFonts w:ascii="Arial" w:hAnsi="Arial" w:cs="Arial"/>
          <w:sz w:val="18"/>
          <w:szCs w:val="18"/>
        </w:rPr>
        <w:t xml:space="preserve">aniach dla przedsięwzięcia pn.: </w:t>
      </w:r>
      <w:r w:rsidRPr="00A9575C">
        <w:rPr>
          <w:rFonts w:ascii="Arial" w:hAnsi="Arial" w:cs="Arial"/>
          <w:sz w:val="18"/>
          <w:szCs w:val="18"/>
        </w:rPr>
        <w:t xml:space="preserve">„Budowa punktu zbierania i wstępnego przetwarzania baterii przy ulicy Narzędziowej 15 na działce nr ew. 66/1 obręb 4058 </w:t>
      </w:r>
      <w:r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w Szczecinie”</w:t>
      </w:r>
      <w:r>
        <w:rPr>
          <w:rFonts w:ascii="Arial" w:hAnsi="Arial" w:cs="Arial"/>
          <w:sz w:val="18"/>
          <w:szCs w:val="18"/>
        </w:rPr>
        <w:t xml:space="preserve"> </w:t>
      </w:r>
    </w:p>
    <w:p w:rsidR="00B94EAA" w:rsidRPr="00A9575C" w:rsidRDefault="00A63FEB" w:rsidP="00E861B7">
      <w:pPr>
        <w:spacing w:line="276" w:lineRule="auto"/>
        <w:ind w:left="0" w:right="14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Do wniosku załączono zgodnie z obowiązującymi przepisami:</w:t>
      </w:r>
    </w:p>
    <w:p w:rsidR="00B94EAA" w:rsidRPr="00A9575C" w:rsidRDefault="00A63FEB" w:rsidP="00653ADD">
      <w:pPr>
        <w:numPr>
          <w:ilvl w:val="0"/>
          <w:numId w:val="2"/>
        </w:numPr>
        <w:spacing w:line="276" w:lineRule="auto"/>
        <w:ind w:right="14" w:hanging="367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kartę informacyjną przedsięwzięcia, opracowaną</w:t>
      </w:r>
      <w:r w:rsidR="001E1084" w:rsidRPr="00A9575C">
        <w:rPr>
          <w:rFonts w:ascii="Arial" w:hAnsi="Arial" w:cs="Arial"/>
          <w:sz w:val="18"/>
          <w:szCs w:val="18"/>
        </w:rPr>
        <w:t xml:space="preserve"> przez </w:t>
      </w:r>
      <w:r w:rsidR="00E861B7">
        <w:rPr>
          <w:rFonts w:ascii="Arial" w:hAnsi="Arial" w:cs="Arial"/>
          <w:sz w:val="18"/>
          <w:szCs w:val="18"/>
        </w:rPr>
        <w:t xml:space="preserve">Agnieszkę Pisarczyk – Miszczyszyn </w:t>
      </w:r>
      <w:r w:rsidR="001E1084" w:rsidRPr="00A9575C">
        <w:rPr>
          <w:rFonts w:ascii="Arial" w:hAnsi="Arial" w:cs="Arial"/>
          <w:sz w:val="18"/>
          <w:szCs w:val="18"/>
        </w:rPr>
        <w:t xml:space="preserve">- </w:t>
      </w:r>
      <w:r w:rsidRPr="00A9575C">
        <w:rPr>
          <w:rFonts w:ascii="Arial" w:hAnsi="Arial" w:cs="Arial"/>
          <w:sz w:val="18"/>
          <w:szCs w:val="18"/>
        </w:rPr>
        <w:t>dalej KIP,</w:t>
      </w:r>
    </w:p>
    <w:p w:rsidR="00B94EAA" w:rsidRPr="00A9575C" w:rsidRDefault="00A63FEB" w:rsidP="00653ADD">
      <w:pPr>
        <w:numPr>
          <w:ilvl w:val="0"/>
          <w:numId w:val="2"/>
        </w:numPr>
        <w:spacing w:line="276" w:lineRule="auto"/>
        <w:ind w:right="14" w:hanging="367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poświadczoną przez właściwy organ kopię mapy ewidencyjnej obejmującej przewidywany teren, na którym będzie realizowane przedsięwzięcie, oraz przewidywany obszar, o którym mowa w ust. 3a ustawy ooś,</w:t>
      </w:r>
    </w:p>
    <w:p w:rsidR="00B94EAA" w:rsidRDefault="00A63FEB" w:rsidP="00653ADD">
      <w:pPr>
        <w:numPr>
          <w:ilvl w:val="0"/>
          <w:numId w:val="2"/>
        </w:numPr>
        <w:spacing w:line="276" w:lineRule="auto"/>
        <w:ind w:right="14" w:hanging="367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mapę z zaznaczonym przewidywanym terenem, na którym będzie realizowane przedsięwzięcie, oraz </w:t>
      </w:r>
      <w:r w:rsidR="008967DB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z zaznaczonym przewidywanym obszarem, o którym mowa w ust. 3a wraz z wyznaczoną odległością, o której mowa w ust. 3a pkt 1 ww. ustawy,</w:t>
      </w:r>
    </w:p>
    <w:p w:rsidR="008967DB" w:rsidRPr="00A9575C" w:rsidRDefault="008967DB" w:rsidP="00653ADD">
      <w:pPr>
        <w:numPr>
          <w:ilvl w:val="0"/>
          <w:numId w:val="2"/>
        </w:numPr>
        <w:spacing w:line="276" w:lineRule="auto"/>
        <w:ind w:right="14" w:hanging="3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uproszczony wypis z rejestru gruntów,</w:t>
      </w:r>
    </w:p>
    <w:p w:rsidR="00B94EAA" w:rsidRPr="00A9575C" w:rsidRDefault="00A63FEB" w:rsidP="00653ADD">
      <w:pPr>
        <w:numPr>
          <w:ilvl w:val="0"/>
          <w:numId w:val="2"/>
        </w:numPr>
        <w:spacing w:after="62" w:line="276" w:lineRule="auto"/>
        <w:ind w:right="14" w:hanging="367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potwierdzenie uiszczenia opłaty skarbowej za wydanie decyzji.</w:t>
      </w:r>
    </w:p>
    <w:p w:rsidR="00B94EAA" w:rsidRPr="00A9575C" w:rsidRDefault="00A63FEB" w:rsidP="00217613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Zgodnie z art. 75 ust. 1 pkt. 4 ustawy ooś - organem właściwym do wydania decyzji o środowiskowych uwarunkowaniach jest Prezydent Miasta Szczecin, który na podstawie dostarczonych dokumentów stwierdził co następuje.</w:t>
      </w:r>
    </w:p>
    <w:p w:rsidR="00B94EAA" w:rsidRPr="00A9575C" w:rsidRDefault="00A63FEB" w:rsidP="008967DB">
      <w:pPr>
        <w:spacing w:after="0" w:line="240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W myśl art. 71 ust. 2 ustawy ooś, uzyskanie decyzji o środowiskowych uwarunkowaniach jest wymagane dla planowanych:</w:t>
      </w:r>
    </w:p>
    <w:p w:rsidR="001E1084" w:rsidRPr="00A9575C" w:rsidRDefault="00A63FEB" w:rsidP="00217613">
      <w:pPr>
        <w:pStyle w:val="Akapitzlist"/>
        <w:numPr>
          <w:ilvl w:val="0"/>
          <w:numId w:val="10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przedsięwzięć mogących zawsze zna</w:t>
      </w:r>
      <w:r w:rsidR="001E1084" w:rsidRPr="00A9575C">
        <w:rPr>
          <w:rFonts w:ascii="Arial" w:hAnsi="Arial" w:cs="Arial"/>
          <w:sz w:val="18"/>
          <w:szCs w:val="18"/>
        </w:rPr>
        <w:t>cząco oddziaływać na środowisko,</w:t>
      </w:r>
    </w:p>
    <w:p w:rsidR="00B94EAA" w:rsidRPr="00A9575C" w:rsidRDefault="00A63FEB" w:rsidP="00217613">
      <w:pPr>
        <w:pStyle w:val="Akapitzlist"/>
        <w:numPr>
          <w:ilvl w:val="0"/>
          <w:numId w:val="10"/>
        </w:numPr>
        <w:spacing w:after="120" w:line="276" w:lineRule="auto"/>
        <w:ind w:left="284" w:right="11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przedsięwzięć mogących potencjalne znacząco oddziaływać na środowisko.</w:t>
      </w:r>
    </w:p>
    <w:p w:rsidR="00B94EAA" w:rsidRPr="00A9575C" w:rsidRDefault="00A63FEB" w:rsidP="0055189A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lastRenderedPageBreak/>
        <w:t xml:space="preserve">Przedmiotowe przedsięwzięcie polegać będzie </w:t>
      </w:r>
      <w:r w:rsidR="008967DB">
        <w:rPr>
          <w:rFonts w:ascii="Arial" w:hAnsi="Arial" w:cs="Arial"/>
          <w:sz w:val="18"/>
          <w:szCs w:val="18"/>
        </w:rPr>
        <w:t xml:space="preserve">na budowie punktu zbierania i wstępnego przetwarzania baterii przy  ulicy Narzędziowej 15 w Szczecinie. Przedsięwzięcie zrealizowane zostanie na terenie, na którym obecnie </w:t>
      </w:r>
      <w:r w:rsidR="00D76181">
        <w:rPr>
          <w:rFonts w:ascii="Arial" w:hAnsi="Arial" w:cs="Arial"/>
          <w:sz w:val="18"/>
          <w:szCs w:val="18"/>
        </w:rPr>
        <w:t>firma Syn</w:t>
      </w:r>
      <w:r w:rsidR="00DA05B1">
        <w:rPr>
          <w:rFonts w:ascii="Arial" w:hAnsi="Arial" w:cs="Arial"/>
          <w:sz w:val="18"/>
          <w:szCs w:val="18"/>
        </w:rPr>
        <w:t xml:space="preserve">tom Metal Recycling Sp. z o. o. </w:t>
      </w:r>
      <w:r w:rsidR="00D76181">
        <w:rPr>
          <w:rFonts w:ascii="Arial" w:hAnsi="Arial" w:cs="Arial"/>
          <w:sz w:val="18"/>
          <w:szCs w:val="18"/>
        </w:rPr>
        <w:t>prowadzi punkt</w:t>
      </w:r>
      <w:r w:rsidR="008967DB">
        <w:rPr>
          <w:rFonts w:ascii="Arial" w:hAnsi="Arial" w:cs="Arial"/>
          <w:sz w:val="18"/>
          <w:szCs w:val="18"/>
        </w:rPr>
        <w:t xml:space="preserve"> </w:t>
      </w:r>
      <w:r w:rsidR="00D76181">
        <w:rPr>
          <w:rFonts w:ascii="Arial" w:hAnsi="Arial" w:cs="Arial"/>
          <w:sz w:val="18"/>
          <w:szCs w:val="18"/>
        </w:rPr>
        <w:t>skupu złomu żelaza i metali kolorowych.</w:t>
      </w:r>
      <w:r w:rsidR="008967DB">
        <w:rPr>
          <w:rFonts w:ascii="Arial" w:hAnsi="Arial" w:cs="Arial"/>
          <w:sz w:val="18"/>
          <w:szCs w:val="18"/>
        </w:rPr>
        <w:t xml:space="preserve"> </w:t>
      </w:r>
      <w:r w:rsidR="00FD20E0">
        <w:rPr>
          <w:rFonts w:ascii="Arial" w:hAnsi="Arial" w:cs="Arial"/>
          <w:sz w:val="18"/>
          <w:szCs w:val="18"/>
        </w:rPr>
        <w:t>Maksymalna zdolność do zbierania, magazynowania i ewentualnego przetworzenia baterii będzie wynosiła do 3 000 Mh/rok. W jednym czasie maksymalna ilość magazynowanych baterii nie przekroczy 300 Mg.</w:t>
      </w:r>
    </w:p>
    <w:p w:rsidR="00B94EAA" w:rsidRPr="00A9575C" w:rsidRDefault="00A63FEB" w:rsidP="0055189A">
      <w:pPr>
        <w:spacing w:after="0" w:line="276" w:lineRule="auto"/>
        <w:ind w:left="0" w:right="14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Planowane przedsięwzięcie zgodnie z rozporządzeniem Rady Ministrów z dnia 10 września 2019 r. </w:t>
      </w:r>
      <w:r w:rsidR="00653ADD" w:rsidRPr="00A9575C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w sprawie przedsięwzięć mogących znacząco oddziaływać na środowisko (Dz. U. z 2019 r. poz. 1839 ze zm.), należy do przedsięwzięć mogących potencjalnie znacząco oddziaływać na środowisko i kwalifikowane jest na podstawie:</w:t>
      </w:r>
    </w:p>
    <w:p w:rsidR="00653ADD" w:rsidRPr="0055189A" w:rsidRDefault="00653ADD" w:rsidP="0055189A">
      <w:pPr>
        <w:pStyle w:val="Akapitzlist"/>
        <w:numPr>
          <w:ilvl w:val="0"/>
          <w:numId w:val="9"/>
        </w:numPr>
        <w:spacing w:after="0" w:line="276" w:lineRule="auto"/>
        <w:ind w:left="284" w:right="21" w:hanging="284"/>
        <w:rPr>
          <w:rFonts w:ascii="Arial" w:hAnsi="Arial" w:cs="Arial"/>
          <w:sz w:val="18"/>
          <w:szCs w:val="18"/>
          <w:u w:val="single" w:color="000000"/>
        </w:rPr>
      </w:pPr>
      <w:r w:rsidRPr="0055189A">
        <w:rPr>
          <w:rFonts w:ascii="Arial" w:hAnsi="Arial" w:cs="Arial"/>
          <w:sz w:val="18"/>
          <w:szCs w:val="18"/>
        </w:rPr>
        <w:t>§</w:t>
      </w:r>
      <w:r w:rsidR="00A63FEB" w:rsidRPr="0055189A">
        <w:rPr>
          <w:rFonts w:ascii="Arial" w:hAnsi="Arial" w:cs="Arial"/>
          <w:sz w:val="18"/>
          <w:szCs w:val="18"/>
        </w:rPr>
        <w:t xml:space="preserve"> 3 us</w:t>
      </w:r>
      <w:r w:rsidR="008967DB" w:rsidRPr="0055189A">
        <w:rPr>
          <w:rFonts w:ascii="Arial" w:hAnsi="Arial" w:cs="Arial"/>
          <w:sz w:val="18"/>
          <w:szCs w:val="18"/>
        </w:rPr>
        <w:t>t. 2 pkt 82</w:t>
      </w:r>
      <w:r w:rsidR="001E1084" w:rsidRPr="0055189A">
        <w:rPr>
          <w:rFonts w:ascii="Arial" w:hAnsi="Arial" w:cs="Arial"/>
          <w:sz w:val="18"/>
          <w:szCs w:val="18"/>
        </w:rPr>
        <w:t xml:space="preserve"> ww. rozporządzenia </w:t>
      </w:r>
      <w:r w:rsidR="008967DB" w:rsidRPr="0055189A">
        <w:rPr>
          <w:rFonts w:ascii="Arial" w:hAnsi="Arial" w:cs="Arial"/>
          <w:sz w:val="18"/>
          <w:szCs w:val="18"/>
        </w:rPr>
        <w:t>–</w:t>
      </w:r>
      <w:r w:rsidR="001E1084" w:rsidRPr="0055189A">
        <w:rPr>
          <w:rFonts w:ascii="Arial" w:hAnsi="Arial" w:cs="Arial"/>
          <w:sz w:val="18"/>
          <w:szCs w:val="18"/>
        </w:rPr>
        <w:t xml:space="preserve"> </w:t>
      </w:r>
      <w:r w:rsidR="008967DB" w:rsidRPr="0055189A">
        <w:rPr>
          <w:rFonts w:ascii="Arial" w:hAnsi="Arial" w:cs="Arial"/>
          <w:sz w:val="18"/>
          <w:szCs w:val="18"/>
        </w:rPr>
        <w:t>instalacje związane z przetwarzaniem w rozumieniu art. 3 ust. 1 pkt 21 ustawy z dnia 14 grudnia 2012 r. o odpadach odpadów, inne niż wymienione w  §</w:t>
      </w:r>
      <w:r w:rsidR="008967DB">
        <w:rPr>
          <w:rFonts w:ascii="Arial" w:hAnsi="Arial" w:cs="Arial"/>
          <w:sz w:val="18"/>
          <w:szCs w:val="18"/>
        </w:rPr>
        <w:t xml:space="preserve"> 2 ust. 1 pkt 41-47, </w:t>
      </w:r>
      <w:r w:rsidR="0055189A">
        <w:rPr>
          <w:rFonts w:ascii="Arial" w:hAnsi="Arial" w:cs="Arial"/>
          <w:sz w:val="18"/>
          <w:szCs w:val="18"/>
        </w:rPr>
        <w:br/>
      </w:r>
      <w:r w:rsidR="008967DB">
        <w:rPr>
          <w:rFonts w:ascii="Arial" w:hAnsi="Arial" w:cs="Arial"/>
          <w:sz w:val="18"/>
          <w:szCs w:val="18"/>
        </w:rPr>
        <w:t xml:space="preserve">z wyłączeniem instalacji do wytwarzania biogazu rolniczego w rozumieniu art. 2 pkt 2 ustawy z dnia 20 lutego 2015 r. o odnawialnych źródłach energii, o zainstalowanej mocy elektrycznej nie większej niż o,5 MW lub wytwarzających ekwiwalentną ilość biogazu rolniczego wykorzystywanego do innych celów niż produkcja energii elektrycznej, a także </w:t>
      </w:r>
      <w:r w:rsidR="0055189A">
        <w:rPr>
          <w:rFonts w:ascii="Arial" w:hAnsi="Arial" w:cs="Arial"/>
          <w:sz w:val="18"/>
          <w:szCs w:val="18"/>
        </w:rPr>
        <w:t>miejsca retencji powierzchniowej odpadów oraz rekultywacja składowisk odpadów,</w:t>
      </w:r>
    </w:p>
    <w:p w:rsidR="0055189A" w:rsidRPr="00A9575C" w:rsidRDefault="0055189A" w:rsidP="0055189A">
      <w:pPr>
        <w:pStyle w:val="Akapitzlist"/>
        <w:numPr>
          <w:ilvl w:val="0"/>
          <w:numId w:val="9"/>
        </w:numPr>
        <w:spacing w:after="120" w:line="276" w:lineRule="auto"/>
        <w:ind w:left="284" w:right="23" w:hanging="284"/>
        <w:rPr>
          <w:rFonts w:ascii="Arial" w:hAnsi="Arial" w:cs="Arial"/>
          <w:sz w:val="18"/>
          <w:szCs w:val="18"/>
          <w:u w:val="single" w:color="000000"/>
        </w:rPr>
      </w:pPr>
      <w:r w:rsidRPr="0055189A">
        <w:rPr>
          <w:rFonts w:ascii="Arial" w:hAnsi="Arial" w:cs="Arial"/>
          <w:sz w:val="18"/>
          <w:szCs w:val="18"/>
        </w:rPr>
        <w:t>§ 3</w:t>
      </w:r>
      <w:r>
        <w:rPr>
          <w:rFonts w:ascii="Arial" w:hAnsi="Arial" w:cs="Arial"/>
          <w:sz w:val="18"/>
          <w:szCs w:val="18"/>
        </w:rPr>
        <w:t xml:space="preserve"> ust. 1 pkt 83 lit b – punkty do zbierania, w tym przeładunku odpadów wymagających uzyskana zezwolenia na zbieranie odpadów  z wyłączeniem odpadów obojętnych oraz punktów selektywnego zbierania odpadów.</w:t>
      </w:r>
    </w:p>
    <w:p w:rsidR="00B94EAA" w:rsidRDefault="00DA05B1" w:rsidP="0055189A">
      <w:pPr>
        <w:spacing w:after="120" w:line="280" w:lineRule="exact"/>
        <w:ind w:left="0" w:right="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niniejszego postę</w:t>
      </w:r>
      <w:r w:rsidR="0055189A">
        <w:rPr>
          <w:rFonts w:ascii="Arial" w:hAnsi="Arial" w:cs="Arial"/>
          <w:sz w:val="18"/>
          <w:szCs w:val="18"/>
        </w:rPr>
        <w:t>powania organ ustalił, że dla terenu położonego w Szcz</w:t>
      </w:r>
      <w:r>
        <w:rPr>
          <w:rFonts w:ascii="Arial" w:hAnsi="Arial" w:cs="Arial"/>
          <w:sz w:val="18"/>
          <w:szCs w:val="18"/>
        </w:rPr>
        <w:t xml:space="preserve">ecinie przy ulicy </w:t>
      </w:r>
      <w:r w:rsidR="0055189A">
        <w:rPr>
          <w:rFonts w:ascii="Arial" w:hAnsi="Arial" w:cs="Arial"/>
          <w:sz w:val="18"/>
          <w:szCs w:val="18"/>
        </w:rPr>
        <w:t>Narzędziowej 15 w granicach działki nr 66/1 z obrębu 4058 brak jest obowiązującego planu zagospodarowania przestrzennego.</w:t>
      </w:r>
    </w:p>
    <w:p w:rsidR="00B94EAA" w:rsidRDefault="00A63FEB" w:rsidP="0055189A">
      <w:pPr>
        <w:spacing w:after="120" w:line="276" w:lineRule="auto"/>
        <w:ind w:left="11" w:right="79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W związku z faktem, iż organ ustalił krąg stron biorących udział w niniejszym postępowaniu a ich liczba przekroczyła 10, zgodnie z art. 74 ust. 3 ustawy ooś zastosowano art. 49 kpa i strony były zawiadamiane </w:t>
      </w:r>
      <w:r w:rsidR="0055189A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o czynnościach organu poprzez ogłoszenie informacji w obwieszczeniu publikowanym w Biuletynie Informacji Publicznej Urzędu Miasta Szczecin oraz udostępnionym na tablicy ogłoszeń w siedzibie organu.</w:t>
      </w:r>
    </w:p>
    <w:p w:rsidR="0055189A" w:rsidRDefault="0055189A" w:rsidP="00217613">
      <w:pPr>
        <w:spacing w:after="120" w:line="276" w:lineRule="auto"/>
        <w:ind w:left="0" w:right="79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Tutejszy organ po przeanalizowaniu karty informacyjnej przedsięwzięcia, działając na podstawie art. 50 kpa wezwał Inwestora do złożenia pisemnych wyjaśnień i uzupełnień m.in. w zakresie podania przewidywanego terminu realizacji inwestycji, </w:t>
      </w:r>
      <w:r w:rsidR="00D76181">
        <w:rPr>
          <w:rFonts w:ascii="Arial" w:hAnsi="Arial" w:cs="Arial"/>
          <w:sz w:val="18"/>
          <w:szCs w:val="18"/>
        </w:rPr>
        <w:t xml:space="preserve">wskazania czy i jak zostaną przystosowane pomieszczenia, w których wykonywane będą procesy przetwarzania odpadów, określenia w jakim stanie technicznym przyjmowane będą baterie, wyjaśnienia z czego wynikają rozbieżności w ilościach podanych odpadów. Ponadto organ wezwał o uzupełnienie informacji odnośnie oddziaływań skumulowanych w zakresie hałasu, uwzględniających istniejący zakład tj. Syntom Metal Recycling Sp. z. o .o . oraz wskazania jakie procesy odzysku oprócz wskazanego R12 będą prowadzone na terenie zakładu. </w:t>
      </w:r>
    </w:p>
    <w:p w:rsidR="00B94EAA" w:rsidRPr="00A9575C" w:rsidRDefault="00D76181" w:rsidP="00217613">
      <w:pPr>
        <w:spacing w:after="120" w:line="276" w:lineRule="auto"/>
        <w:ind w:left="0" w:right="79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11.04.2023 r. do organu wpłynęły informacje przedłożone przez Inwestora, w zakresie wskazanym </w:t>
      </w:r>
      <w:r>
        <w:rPr>
          <w:rFonts w:ascii="Arial" w:hAnsi="Arial" w:cs="Arial"/>
          <w:sz w:val="18"/>
          <w:szCs w:val="18"/>
        </w:rPr>
        <w:br/>
        <w:t>w wezwaniu. Wobec czego</w:t>
      </w:r>
      <w:r w:rsidR="00DA05B1">
        <w:rPr>
          <w:rFonts w:ascii="Arial" w:hAnsi="Arial" w:cs="Arial"/>
          <w:sz w:val="18"/>
          <w:szCs w:val="18"/>
        </w:rPr>
        <w:t xml:space="preserve"> tutejszy</w:t>
      </w:r>
      <w:r>
        <w:rPr>
          <w:rFonts w:ascii="Arial" w:hAnsi="Arial" w:cs="Arial"/>
          <w:sz w:val="18"/>
          <w:szCs w:val="18"/>
        </w:rPr>
        <w:t xml:space="preserve"> o</w:t>
      </w:r>
      <w:r w:rsidR="00A63FEB" w:rsidRPr="00A9575C">
        <w:rPr>
          <w:rFonts w:ascii="Arial" w:hAnsi="Arial" w:cs="Arial"/>
          <w:sz w:val="18"/>
          <w:szCs w:val="18"/>
        </w:rPr>
        <w:t>rgan w ramach konsultacji z właściwymi organami, zgodnie z art. 64 ust. 1 ustawy ooś wystąpił do Regionalnego Dyrektora Ochrony Środowiska w Szczecinie, Państwowego Powiatowego Inspektora Sanitarnego w Szczecinie, Dyrektora Zarządu Zlewni w Stargardzie PGW WP o opinię w sprawie potrzeby przeprowadzenia oceny oddziaływania przedsięwzięcia na środowisko.</w:t>
      </w:r>
    </w:p>
    <w:p w:rsidR="00B94EAA" w:rsidRPr="00217613" w:rsidRDefault="00A63FEB" w:rsidP="00D76181">
      <w:pPr>
        <w:spacing w:after="120" w:line="276" w:lineRule="auto"/>
        <w:ind w:left="11" w:right="11" w:firstLine="6"/>
        <w:rPr>
          <w:rFonts w:ascii="Arial" w:hAnsi="Arial" w:cs="Arial"/>
          <w:color w:val="000000" w:themeColor="text1"/>
          <w:sz w:val="18"/>
          <w:szCs w:val="18"/>
        </w:rPr>
      </w:pPr>
      <w:r w:rsidRPr="00217613">
        <w:rPr>
          <w:rFonts w:ascii="Arial" w:hAnsi="Arial" w:cs="Arial"/>
          <w:color w:val="000000" w:themeColor="text1"/>
          <w:sz w:val="18"/>
          <w:szCs w:val="18"/>
        </w:rPr>
        <w:t>Państwowy Powiatowy Inspektor Sanitarny w Szczecinie, w opinii sanitar</w:t>
      </w:r>
      <w:r w:rsidR="00D76181" w:rsidRPr="00217613">
        <w:rPr>
          <w:rFonts w:ascii="Arial" w:hAnsi="Arial" w:cs="Arial"/>
          <w:color w:val="000000" w:themeColor="text1"/>
          <w:sz w:val="18"/>
          <w:szCs w:val="18"/>
        </w:rPr>
        <w:t xml:space="preserve">nej z dnia </w:t>
      </w:r>
      <w:r w:rsidR="00217613">
        <w:rPr>
          <w:rFonts w:ascii="Arial" w:hAnsi="Arial" w:cs="Arial"/>
          <w:color w:val="000000" w:themeColor="text1"/>
          <w:sz w:val="18"/>
          <w:szCs w:val="18"/>
        </w:rPr>
        <w:t>20.04.2023</w:t>
      </w:r>
      <w:r w:rsidR="00D76181" w:rsidRPr="00217613">
        <w:rPr>
          <w:rFonts w:ascii="Arial" w:hAnsi="Arial" w:cs="Arial"/>
          <w:color w:val="000000" w:themeColor="text1"/>
          <w:sz w:val="18"/>
          <w:szCs w:val="18"/>
        </w:rPr>
        <w:t xml:space="preserve"> r., znak: 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>NZ.9022.2.</w:t>
      </w:r>
      <w:r w:rsidR="00217613">
        <w:rPr>
          <w:rFonts w:ascii="Arial" w:hAnsi="Arial" w:cs="Arial"/>
          <w:color w:val="000000" w:themeColor="text1"/>
          <w:sz w:val="18"/>
          <w:szCs w:val="18"/>
        </w:rPr>
        <w:t>19.2023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 nie stwierdził potrzeby przeprowadzenia oceny oddziaływania na środowis</w:t>
      </w:r>
      <w:r w:rsidR="00D76181" w:rsidRPr="00217613">
        <w:rPr>
          <w:rFonts w:ascii="Arial" w:hAnsi="Arial" w:cs="Arial"/>
          <w:color w:val="000000" w:themeColor="text1"/>
          <w:sz w:val="18"/>
          <w:szCs w:val="18"/>
        </w:rPr>
        <w:t xml:space="preserve">ko dla 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>przedmiotowego przedsięwzięcia i nie określił warunków korzystania ze środow</w:t>
      </w:r>
      <w:r w:rsidR="00D76181" w:rsidRPr="00217613">
        <w:rPr>
          <w:rFonts w:ascii="Arial" w:hAnsi="Arial" w:cs="Arial"/>
          <w:color w:val="000000" w:themeColor="text1"/>
          <w:sz w:val="18"/>
          <w:szCs w:val="18"/>
        </w:rPr>
        <w:t xml:space="preserve">iska. W uzasadnieniu stanowiska 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stwierdził, iż przedmiotowe przedsięwzięcie nie będzie negatywnie oddziaływać na zdrowie </w:t>
      </w:r>
      <w:r w:rsidR="00217613">
        <w:rPr>
          <w:rFonts w:ascii="Arial" w:hAnsi="Arial" w:cs="Arial"/>
          <w:color w:val="000000" w:themeColor="text1"/>
          <w:sz w:val="18"/>
          <w:szCs w:val="18"/>
        </w:rPr>
        <w:t>i życie ludzi pod warunkiem zastosowania wszystkich zaplanowanych przez Inwestora rozwiązań technicznych i organizacyjnych.</w:t>
      </w:r>
    </w:p>
    <w:p w:rsidR="00B94EAA" w:rsidRPr="00217613" w:rsidRDefault="00A63FEB" w:rsidP="00332C52">
      <w:pPr>
        <w:spacing w:after="88" w:line="276" w:lineRule="auto"/>
        <w:ind w:left="14" w:right="14"/>
        <w:rPr>
          <w:rFonts w:ascii="Arial" w:hAnsi="Arial" w:cs="Arial"/>
          <w:color w:val="000000" w:themeColor="text1"/>
          <w:sz w:val="18"/>
          <w:szCs w:val="18"/>
        </w:rPr>
      </w:pPr>
      <w:r w:rsidRPr="00217613">
        <w:rPr>
          <w:rFonts w:ascii="Arial" w:hAnsi="Arial" w:cs="Arial"/>
          <w:color w:val="000000" w:themeColor="text1"/>
          <w:sz w:val="18"/>
          <w:szCs w:val="18"/>
        </w:rPr>
        <w:t>Dyrektor Zarzą</w:t>
      </w:r>
      <w:r w:rsidR="00DA05B1">
        <w:rPr>
          <w:rFonts w:ascii="Arial" w:hAnsi="Arial" w:cs="Arial"/>
          <w:color w:val="000000" w:themeColor="text1"/>
          <w:sz w:val="18"/>
          <w:szCs w:val="18"/>
        </w:rPr>
        <w:t xml:space="preserve">du Zlewni w Stargardzie PGW WP, 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pismem z dnia </w:t>
      </w:r>
      <w:r w:rsidR="00217613">
        <w:rPr>
          <w:rFonts w:ascii="Arial" w:hAnsi="Arial" w:cs="Arial"/>
          <w:color w:val="000000" w:themeColor="text1"/>
          <w:sz w:val="18"/>
          <w:szCs w:val="18"/>
        </w:rPr>
        <w:t>24.04.2023 r. znak: SZ.ZZŚ.3.4901.55.2023.OS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 wyraził opin</w:t>
      </w:r>
      <w:r w:rsidR="00332C52">
        <w:rPr>
          <w:rFonts w:ascii="Arial" w:hAnsi="Arial" w:cs="Arial"/>
          <w:color w:val="000000" w:themeColor="text1"/>
          <w:sz w:val="18"/>
          <w:szCs w:val="18"/>
        </w:rPr>
        <w:t xml:space="preserve">ię, że dla przedsięwzięcia polegającego na budowie punktu zbierania i wstępnego przetwarzania baterii przy ulicy Narzędziowej 15 na działce nr 66/1 obręb 4058 w Szczecinie, 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nie istnieje konieczność przeprowadzenia oceny oddziaływania przedsięwzięcia na środowisko, jednocześnie określił warunki realizacji przedsięwzięcia </w:t>
      </w:r>
      <w:r w:rsidR="00116817" w:rsidRPr="00217613">
        <w:rPr>
          <w:rFonts w:ascii="Arial" w:hAnsi="Arial" w:cs="Arial"/>
          <w:color w:val="000000" w:themeColor="text1"/>
          <w:sz w:val="18"/>
          <w:szCs w:val="18"/>
        </w:rPr>
        <w:t xml:space="preserve">chroniące środowisko gruntowo - 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wodne, które organ uwzględnił w niniejszej decyzji. W uzasadnieniu opinii stwierdził, że przedmiotowa inwestycja, zarówno w fazie budowy, jak i eksploatacji, nie będzie negatywnie oddziaływać na środowisko wodne i gruntowe, a tym samym nie nastąpi degradacja wód podziemnych </w:t>
      </w:r>
      <w:r w:rsidR="00332C52">
        <w:rPr>
          <w:rFonts w:ascii="Arial" w:hAnsi="Arial" w:cs="Arial"/>
          <w:color w:val="000000" w:themeColor="text1"/>
          <w:sz w:val="18"/>
          <w:szCs w:val="18"/>
        </w:rPr>
        <w:br/>
      </w:r>
      <w:r w:rsidRPr="00217613">
        <w:rPr>
          <w:rFonts w:ascii="Arial" w:hAnsi="Arial" w:cs="Arial"/>
          <w:color w:val="000000" w:themeColor="text1"/>
          <w:sz w:val="18"/>
          <w:szCs w:val="18"/>
        </w:rPr>
        <w:t>i powierzchniowych spowodowana jakimikolwiek zaniecz</w:t>
      </w:r>
      <w:r w:rsidR="00653ADD" w:rsidRPr="00217613">
        <w:rPr>
          <w:rFonts w:ascii="Arial" w:hAnsi="Arial" w:cs="Arial"/>
          <w:color w:val="000000" w:themeColor="text1"/>
          <w:sz w:val="18"/>
          <w:szCs w:val="18"/>
        </w:rPr>
        <w:t>yszczeniami. Nie nastąpi również</w:t>
      </w:r>
      <w:r w:rsidRPr="00217613">
        <w:rPr>
          <w:rFonts w:ascii="Arial" w:hAnsi="Arial" w:cs="Arial"/>
          <w:color w:val="000000" w:themeColor="text1"/>
          <w:sz w:val="18"/>
          <w:szCs w:val="18"/>
        </w:rPr>
        <w:t xml:space="preserve"> pogorszenie potencjału ekologicznego i stanu chemicznego JCW powierzchniowych oraz stanu ilościowego i chemicznego JCW podziemnych.</w:t>
      </w:r>
    </w:p>
    <w:p w:rsidR="00B94EAA" w:rsidRPr="00AC7993" w:rsidRDefault="00A63FEB" w:rsidP="00653ADD">
      <w:pPr>
        <w:spacing w:after="130" w:line="276" w:lineRule="auto"/>
        <w:ind w:left="14" w:right="14"/>
        <w:rPr>
          <w:rFonts w:ascii="Arial" w:hAnsi="Arial" w:cs="Arial"/>
          <w:color w:val="000000" w:themeColor="text1"/>
          <w:sz w:val="18"/>
          <w:szCs w:val="18"/>
        </w:rPr>
      </w:pPr>
      <w:r w:rsidRPr="00AC7993">
        <w:rPr>
          <w:rFonts w:ascii="Arial" w:hAnsi="Arial" w:cs="Arial"/>
          <w:color w:val="000000" w:themeColor="text1"/>
          <w:sz w:val="18"/>
          <w:szCs w:val="18"/>
        </w:rPr>
        <w:t xml:space="preserve">Regionalny Dyrektor Ochrony Środowiska w Szczecinie, w postanowieniu z </w:t>
      </w:r>
      <w:r w:rsidR="00116817" w:rsidRPr="00AC7993">
        <w:rPr>
          <w:rFonts w:ascii="Arial" w:hAnsi="Arial" w:cs="Arial"/>
          <w:color w:val="000000" w:themeColor="text1"/>
          <w:sz w:val="18"/>
          <w:szCs w:val="18"/>
        </w:rPr>
        <w:t xml:space="preserve">dnia </w:t>
      </w:r>
      <w:r w:rsidR="00AC7993">
        <w:rPr>
          <w:rFonts w:ascii="Arial" w:hAnsi="Arial" w:cs="Arial"/>
          <w:color w:val="000000" w:themeColor="text1"/>
          <w:sz w:val="18"/>
          <w:szCs w:val="18"/>
        </w:rPr>
        <w:t>27.04.2023</w:t>
      </w:r>
      <w:r w:rsidR="00116817" w:rsidRPr="00AC7993">
        <w:rPr>
          <w:rFonts w:ascii="Arial" w:hAnsi="Arial" w:cs="Arial"/>
          <w:color w:val="000000" w:themeColor="text1"/>
          <w:sz w:val="18"/>
          <w:szCs w:val="18"/>
        </w:rPr>
        <w:t xml:space="preserve"> r. znak: WONS-</w:t>
      </w:r>
      <w:r w:rsidRPr="00AC7993">
        <w:rPr>
          <w:rFonts w:ascii="Arial" w:hAnsi="Arial" w:cs="Arial"/>
          <w:color w:val="000000" w:themeColor="text1"/>
          <w:sz w:val="18"/>
          <w:szCs w:val="18"/>
        </w:rPr>
        <w:t>09.4220.</w:t>
      </w:r>
      <w:r w:rsidR="00AC7993">
        <w:rPr>
          <w:rFonts w:ascii="Arial" w:hAnsi="Arial" w:cs="Arial"/>
          <w:color w:val="000000" w:themeColor="text1"/>
          <w:sz w:val="18"/>
          <w:szCs w:val="18"/>
        </w:rPr>
        <w:t>141.2023.MF</w:t>
      </w:r>
      <w:r w:rsidRPr="00AC7993">
        <w:rPr>
          <w:rFonts w:ascii="Arial" w:hAnsi="Arial" w:cs="Arial"/>
          <w:color w:val="000000" w:themeColor="text1"/>
          <w:sz w:val="18"/>
          <w:szCs w:val="18"/>
        </w:rPr>
        <w:t xml:space="preserve"> wyraził opini</w:t>
      </w:r>
      <w:r w:rsidR="00653ADD" w:rsidRPr="00AC7993">
        <w:rPr>
          <w:rFonts w:ascii="Arial" w:hAnsi="Arial" w:cs="Arial"/>
          <w:color w:val="000000" w:themeColor="text1"/>
          <w:sz w:val="18"/>
          <w:szCs w:val="18"/>
        </w:rPr>
        <w:t>ę, iż</w:t>
      </w:r>
      <w:r w:rsidRPr="00AC7993">
        <w:rPr>
          <w:rFonts w:ascii="Arial" w:hAnsi="Arial" w:cs="Arial"/>
          <w:color w:val="000000" w:themeColor="text1"/>
          <w:sz w:val="18"/>
          <w:szCs w:val="18"/>
        </w:rPr>
        <w:t xml:space="preserve"> dla przedmiotowego przedsięwzięcia nie istnieje konieczność</w:t>
      </w:r>
      <w:r w:rsidR="007A6F8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C7993">
        <w:rPr>
          <w:rFonts w:ascii="Arial" w:hAnsi="Arial" w:cs="Arial"/>
          <w:color w:val="000000" w:themeColor="text1"/>
          <w:sz w:val="18"/>
          <w:szCs w:val="18"/>
        </w:rPr>
        <w:lastRenderedPageBreak/>
        <w:t>przeprowadzenia oceny oddziaływania na środowisko. W uzas</w:t>
      </w:r>
      <w:r w:rsidR="00AC7993">
        <w:rPr>
          <w:rFonts w:ascii="Arial" w:hAnsi="Arial" w:cs="Arial"/>
          <w:color w:val="000000" w:themeColor="text1"/>
          <w:sz w:val="18"/>
          <w:szCs w:val="18"/>
        </w:rPr>
        <w:t>adnieniu stanowiska wskazał, ze przedmiotowe przedsięwzięcia z uwagi na charakter, skalę oraz lokalizację nie będzie powodowało ponadnormatywnych oddziaływań na poszczególne elementy środowiska, również w ujęciu skumulowanym.</w:t>
      </w:r>
    </w:p>
    <w:p w:rsidR="00B94EAA" w:rsidRPr="00AC7993" w:rsidRDefault="00A63FEB" w:rsidP="00653ADD">
      <w:pPr>
        <w:spacing w:after="125" w:line="276" w:lineRule="auto"/>
        <w:ind w:left="14" w:right="14"/>
        <w:rPr>
          <w:rFonts w:ascii="Arial" w:hAnsi="Arial" w:cs="Arial"/>
          <w:color w:val="000000" w:themeColor="text1"/>
          <w:sz w:val="18"/>
          <w:szCs w:val="18"/>
        </w:rPr>
      </w:pPr>
      <w:r w:rsidRPr="00AC7993">
        <w:rPr>
          <w:rFonts w:ascii="Arial" w:hAnsi="Arial" w:cs="Arial"/>
          <w:color w:val="000000" w:themeColor="text1"/>
          <w:sz w:val="18"/>
          <w:szCs w:val="18"/>
        </w:rPr>
        <w:t xml:space="preserve">Organ odstąpił od obowiązku przeprowadzenia oceny oddziaływania planowanego przedsięwzięcia na środowisko badając sprawę i odnosząc się do uwarunkowań wynikających z art. 63 ust. 1 ustawy ooś. Ponadto organ nie nakładając obowiązku przeprowadzenia oceny oddziaływania planowanego przedsięwzięcia na środowisko uwzględnił również stanowisko Regionalnego Dyrektora Ochrony Środowiska w Szczecinie, Dyrektora Zarządu Zlewni w Stargardzie PGW Wody Polskie oraz stanowisko Państwowego Powiatowego Inspektora Sanitarnego </w:t>
      </w:r>
      <w:r w:rsidR="00D76181" w:rsidRPr="00AC7993">
        <w:rPr>
          <w:rFonts w:ascii="Arial" w:hAnsi="Arial" w:cs="Arial"/>
          <w:color w:val="000000" w:themeColor="text1"/>
          <w:sz w:val="18"/>
          <w:szCs w:val="18"/>
        </w:rPr>
        <w:br/>
      </w:r>
      <w:r w:rsidRPr="00AC7993">
        <w:rPr>
          <w:rFonts w:ascii="Arial" w:hAnsi="Arial" w:cs="Arial"/>
          <w:color w:val="000000" w:themeColor="text1"/>
          <w:sz w:val="18"/>
          <w:szCs w:val="18"/>
        </w:rPr>
        <w:t>w Szczecinie.</w:t>
      </w:r>
    </w:p>
    <w:p w:rsidR="00B94EAA" w:rsidRPr="00A9575C" w:rsidRDefault="00A63FEB" w:rsidP="00653ADD">
      <w:pPr>
        <w:spacing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W związku z powyższym organ kierował się następującymi uwarunkowaniami:</w:t>
      </w:r>
    </w:p>
    <w:p w:rsidR="00B94EAA" w:rsidRPr="00A9575C" w:rsidRDefault="00A63FEB" w:rsidP="00653ADD">
      <w:pPr>
        <w:spacing w:after="64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l. Rodzajem i charakterystyką przedsięwzięcia.</w:t>
      </w:r>
    </w:p>
    <w:p w:rsidR="00FD20E0" w:rsidRPr="00A9575C" w:rsidRDefault="00A63FEB" w:rsidP="00FD20E0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Planowane przedsięwzięcie będzie polegać </w:t>
      </w:r>
      <w:r w:rsidR="00D76181">
        <w:rPr>
          <w:rFonts w:ascii="Arial" w:hAnsi="Arial" w:cs="Arial"/>
          <w:sz w:val="18"/>
          <w:szCs w:val="18"/>
        </w:rPr>
        <w:t>na budowie punktu zbierania i przetwarzania baterii</w:t>
      </w:r>
      <w:r w:rsidR="00E94B57">
        <w:rPr>
          <w:rFonts w:ascii="Arial" w:hAnsi="Arial" w:cs="Arial"/>
          <w:sz w:val="18"/>
          <w:szCs w:val="18"/>
        </w:rPr>
        <w:t>. Głównym zamierzeniem związanym z powstaniem zakładu będzie przyjmowanie baterii wykonanych w technologii litowo – jonowej pochodzących z przemysłu motoryza</w:t>
      </w:r>
      <w:r w:rsidR="006B169C">
        <w:rPr>
          <w:rFonts w:ascii="Arial" w:hAnsi="Arial" w:cs="Arial"/>
          <w:sz w:val="18"/>
          <w:szCs w:val="18"/>
        </w:rPr>
        <w:t>cyjnego. Będą one pochodziły głó</w:t>
      </w:r>
      <w:r w:rsidR="00E94B57">
        <w:rPr>
          <w:rFonts w:ascii="Arial" w:hAnsi="Arial" w:cs="Arial"/>
          <w:sz w:val="18"/>
          <w:szCs w:val="18"/>
        </w:rPr>
        <w:t>wnie z napraw serwisowych samochodów elektrycznych. Baterie d</w:t>
      </w:r>
      <w:r w:rsidR="0011058D">
        <w:rPr>
          <w:rFonts w:ascii="Arial" w:hAnsi="Arial" w:cs="Arial"/>
          <w:sz w:val="18"/>
          <w:szCs w:val="18"/>
        </w:rPr>
        <w:t>o punktu będą trafiały jako nie</w:t>
      </w:r>
      <w:r w:rsidR="00E94B57">
        <w:rPr>
          <w:rFonts w:ascii="Arial" w:hAnsi="Arial" w:cs="Arial"/>
          <w:sz w:val="18"/>
          <w:szCs w:val="18"/>
        </w:rPr>
        <w:t xml:space="preserve">uszkodzone i zabezpieczone na czas transportu do punktu. Inwestor nie przewiduje przyjmowania baterii z uszkodzonymi obudowami. Baterie trafiające do punktu będą oddawane z uwagi na </w:t>
      </w:r>
      <w:r w:rsidR="00B75512">
        <w:rPr>
          <w:rFonts w:ascii="Arial" w:hAnsi="Arial" w:cs="Arial"/>
          <w:sz w:val="18"/>
          <w:szCs w:val="18"/>
        </w:rPr>
        <w:t>u</w:t>
      </w:r>
      <w:r w:rsidR="00E94B57">
        <w:rPr>
          <w:rFonts w:ascii="Arial" w:hAnsi="Arial" w:cs="Arial"/>
          <w:sz w:val="18"/>
          <w:szCs w:val="18"/>
        </w:rPr>
        <w:t>tratę swojej pojemności, a nie w wyniku fizycznego uszkodzenia.</w:t>
      </w:r>
      <w:r w:rsidR="00FD20E0">
        <w:rPr>
          <w:rFonts w:ascii="Arial" w:hAnsi="Arial" w:cs="Arial"/>
          <w:sz w:val="18"/>
          <w:szCs w:val="18"/>
        </w:rPr>
        <w:t xml:space="preserve"> Maksymalna zdolność do zbierania, magazynowania i ewentualnego przetworzenia baterii będzie wynosiła do 3 000 Mh/rok. W jednym czasie maksymalna ilość magazynowanych baterii nie przekroczy 300 Mg. Na terenie pla</w:t>
      </w:r>
      <w:r w:rsidR="00B75512">
        <w:rPr>
          <w:rFonts w:ascii="Arial" w:hAnsi="Arial" w:cs="Arial"/>
          <w:sz w:val="18"/>
          <w:szCs w:val="18"/>
        </w:rPr>
        <w:t>nowanego przedsięwzięcia baterie</w:t>
      </w:r>
      <w:r w:rsidR="00FD20E0">
        <w:rPr>
          <w:rFonts w:ascii="Arial" w:hAnsi="Arial" w:cs="Arial"/>
          <w:sz w:val="18"/>
          <w:szCs w:val="18"/>
        </w:rPr>
        <w:t xml:space="preserve"> będą jedynie przyjęte do magazynowania, przetworzone poprzez ręczny demontaż wybranych elementów, rozładowane zan</w:t>
      </w:r>
      <w:r w:rsidR="006B169C">
        <w:rPr>
          <w:rFonts w:ascii="Arial" w:hAnsi="Arial" w:cs="Arial"/>
          <w:sz w:val="18"/>
          <w:szCs w:val="18"/>
        </w:rPr>
        <w:t xml:space="preserve">urzeniowo </w:t>
      </w:r>
      <w:r w:rsidR="00FD20E0">
        <w:rPr>
          <w:rFonts w:ascii="Arial" w:hAnsi="Arial" w:cs="Arial"/>
          <w:sz w:val="18"/>
          <w:szCs w:val="18"/>
        </w:rPr>
        <w:t>a następnie poddane ręcznemu demontażowi wybranych elementów.</w:t>
      </w:r>
    </w:p>
    <w:p w:rsidR="00E94B57" w:rsidRPr="00AE64E1" w:rsidRDefault="00A21550" w:rsidP="00A21550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  <w:r w:rsidRPr="00AE64E1">
        <w:rPr>
          <w:rFonts w:ascii="Arial" w:hAnsi="Arial" w:cs="Arial"/>
          <w:color w:val="000000" w:themeColor="text1"/>
          <w:sz w:val="18"/>
          <w:szCs w:val="18"/>
        </w:rPr>
        <w:t>Przedmiotowe przedsięwzięcie zrealizowane zostanie przy ulicy Narzędziowej 15, na działce o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nr ew. 66/1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obręb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4058 w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Szczecinie, której powierzchnia wynosi około 0,599 ha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. Teren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inwestycyjny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obecnie wykorzystywany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jest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częściowo jako plac magazynowy oraz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jest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zabudowany halą, w któr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ej działalność gospodarczą w zakresie prowadzenia punktu skupu złomu żelaza i metali kolorowych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prowadzi firma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Syntom Metal Recycling Sp. z o.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o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. Na ten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cel firma Syntom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wykorzystuje utwardzony fragm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ent działki o powierzchni około 0,12</w:t>
      </w:r>
      <w:r w:rsidR="00AE64E1">
        <w:rPr>
          <w:rFonts w:ascii="Arial" w:hAnsi="Arial" w:cs="Arial"/>
          <w:color w:val="000000" w:themeColor="text1"/>
          <w:sz w:val="18"/>
          <w:szCs w:val="18"/>
        </w:rPr>
        <w:t>0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ha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oraz stojącą na działce halę magazynową o powierzchni około </w:t>
      </w:r>
      <w:r w:rsidR="00AE64E1">
        <w:rPr>
          <w:rFonts w:ascii="Arial" w:hAnsi="Arial" w:cs="Arial"/>
          <w:color w:val="000000" w:themeColor="text1"/>
          <w:sz w:val="18"/>
          <w:szCs w:val="18"/>
        </w:rPr>
        <w:t>0,010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ha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  <w:vertAlign w:val="subscript"/>
        </w:rPr>
        <w:t>.</w:t>
      </w:r>
      <w:r w:rsidR="00B75512" w:rsidRPr="00AE64E1">
        <w:rPr>
          <w:rFonts w:ascii="Arial" w:hAnsi="Arial" w:cs="Arial"/>
          <w:color w:val="000000" w:themeColor="text1"/>
          <w:sz w:val="18"/>
          <w:szCs w:val="18"/>
          <w:vertAlign w:val="subscript"/>
        </w:rPr>
        <w:t xml:space="preserve"> </w:t>
      </w:r>
      <w:r w:rsidR="00B75512" w:rsidRPr="00AE64E1">
        <w:rPr>
          <w:rFonts w:ascii="Arial" w:hAnsi="Arial" w:cs="Arial"/>
          <w:color w:val="000000" w:themeColor="text1"/>
          <w:sz w:val="18"/>
          <w:szCs w:val="18"/>
        </w:rPr>
        <w:t>W</w:t>
      </w:r>
      <w:r w:rsidR="0011058D" w:rsidRPr="00AE64E1">
        <w:rPr>
          <w:rFonts w:ascii="Arial" w:hAnsi="Arial" w:cs="Arial"/>
          <w:color w:val="000000" w:themeColor="text1"/>
          <w:sz w:val="18"/>
          <w:szCs w:val="18"/>
        </w:rPr>
        <w:t>e</w:t>
      </w:r>
      <w:r w:rsidR="00B75512" w:rsidRPr="00AE64E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wschodniej części działki</w:t>
      </w:r>
      <w:r w:rsidR="006B169C" w:rsidRPr="00AE64E1">
        <w:rPr>
          <w:rFonts w:ascii="Arial" w:hAnsi="Arial" w:cs="Arial"/>
          <w:color w:val="000000" w:themeColor="text1"/>
          <w:sz w:val="18"/>
          <w:szCs w:val="18"/>
        </w:rPr>
        <w:t xml:space="preserve"> znajduje się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stacja bazowa telefonii komórkowej, która zajmuje </w:t>
      </w:r>
      <w:r w:rsidR="00DA05B1" w:rsidRPr="00AE64E1">
        <w:rPr>
          <w:rFonts w:ascii="Arial" w:hAnsi="Arial" w:cs="Arial"/>
          <w:color w:val="000000" w:themeColor="text1"/>
          <w:sz w:val="18"/>
          <w:szCs w:val="18"/>
        </w:rPr>
        <w:t>powierzchnię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około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0,013 ha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. Pozostały te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ren o powierzchni około 0,456 ha</w:t>
      </w:r>
      <w:r w:rsidR="00B75512" w:rsidRPr="00AE64E1">
        <w:rPr>
          <w:rFonts w:ascii="Arial" w:hAnsi="Arial" w:cs="Arial"/>
          <w:color w:val="000000" w:themeColor="text1"/>
          <w:sz w:val="18"/>
          <w:szCs w:val="18"/>
        </w:rPr>
        <w:t xml:space="preserve">, w chwili obecnej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porośnięty jest roślinn</w:t>
      </w:r>
      <w:r w:rsidR="006B169C" w:rsidRPr="00AE64E1">
        <w:rPr>
          <w:rFonts w:ascii="Arial" w:hAnsi="Arial" w:cs="Arial"/>
          <w:color w:val="000000" w:themeColor="text1"/>
          <w:sz w:val="18"/>
          <w:szCs w:val="18"/>
        </w:rPr>
        <w:t>ością o charakterze ruderalnym</w:t>
      </w:r>
      <w:r w:rsidR="00B75512" w:rsidRPr="00AE64E1">
        <w:rPr>
          <w:rFonts w:ascii="Arial" w:hAnsi="Arial" w:cs="Arial"/>
          <w:color w:val="000000" w:themeColor="text1"/>
          <w:sz w:val="18"/>
          <w:szCs w:val="18"/>
        </w:rPr>
        <w:t xml:space="preserve"> i </w:t>
      </w:r>
      <w:r w:rsidR="006B169C" w:rsidRPr="00AE64E1">
        <w:rPr>
          <w:rFonts w:ascii="Arial" w:hAnsi="Arial" w:cs="Arial"/>
          <w:color w:val="000000" w:themeColor="text1"/>
          <w:sz w:val="18"/>
          <w:szCs w:val="18"/>
        </w:rPr>
        <w:t xml:space="preserve">nie jest użytkowany.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Cały teren jest ogrodzony</w:t>
      </w:r>
      <w:r w:rsidR="006B169C" w:rsidRPr="00AE64E1">
        <w:rPr>
          <w:rFonts w:ascii="Arial" w:hAnsi="Arial" w:cs="Arial"/>
          <w:color w:val="000000" w:themeColor="text1"/>
          <w:sz w:val="18"/>
          <w:szCs w:val="18"/>
        </w:rPr>
        <w:t xml:space="preserve">, objęty całodobowym monitoringiem 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>i zabezpieczony przed wstępem osób postronnych. Od ulicy Narzędziowej zlokalizowana jest brama wjazdowa.</w:t>
      </w:r>
      <w:r w:rsidR="000B282C" w:rsidRPr="00AE64E1">
        <w:rPr>
          <w:rFonts w:ascii="Arial" w:hAnsi="Arial" w:cs="Arial"/>
          <w:color w:val="000000" w:themeColor="text1"/>
          <w:sz w:val="18"/>
          <w:szCs w:val="18"/>
        </w:rPr>
        <w:t xml:space="preserve"> Parking dla pracowników i klientów zlokalizowany jest na placu parkingowym przy bramie wjazdowej na teren zakładu.</w:t>
      </w:r>
      <w:r w:rsidR="00E94B57" w:rsidRPr="00AE64E1">
        <w:rPr>
          <w:rFonts w:ascii="Arial" w:hAnsi="Arial" w:cs="Arial"/>
          <w:color w:val="000000" w:themeColor="text1"/>
          <w:sz w:val="18"/>
          <w:szCs w:val="18"/>
        </w:rPr>
        <w:t xml:space="preserve"> Na działkach sąsiadujących od strony zachodniej z miejscem planowanej inwestycji prowadzona jest działalność o podobnym profilu.</w:t>
      </w:r>
      <w:r w:rsidR="00FD20E0" w:rsidRPr="00AE64E1">
        <w:rPr>
          <w:rFonts w:ascii="Arial" w:hAnsi="Arial" w:cs="Arial"/>
          <w:color w:val="000000" w:themeColor="text1"/>
          <w:sz w:val="18"/>
          <w:szCs w:val="18"/>
        </w:rPr>
        <w:t xml:space="preserve"> Z treści karty informacyjn</w:t>
      </w:r>
      <w:r w:rsidR="0011058D" w:rsidRPr="00AE64E1">
        <w:rPr>
          <w:rFonts w:ascii="Arial" w:hAnsi="Arial" w:cs="Arial"/>
          <w:color w:val="000000" w:themeColor="text1"/>
          <w:sz w:val="18"/>
          <w:szCs w:val="18"/>
        </w:rPr>
        <w:t>ej przedsięwzięcia wynika, ż</w:t>
      </w:r>
      <w:r w:rsidR="00FD20E0" w:rsidRPr="00AE64E1">
        <w:rPr>
          <w:rFonts w:ascii="Arial" w:hAnsi="Arial" w:cs="Arial"/>
          <w:color w:val="000000" w:themeColor="text1"/>
          <w:sz w:val="18"/>
          <w:szCs w:val="18"/>
        </w:rPr>
        <w:t xml:space="preserve">e w punkcie zatrudnionych będzie do trzech pracowników, z czego jedna osoba będzie zatrudniona do prac typowo biurowych, natomiast dwie pozostałe przy przyjmowaniu dostaw, magazynowaniu i prowadzeniu procesów recyclingu. Zakład pracował będzie w systemie </w:t>
      </w:r>
      <w:r w:rsidR="0011058D" w:rsidRPr="00AE64E1">
        <w:rPr>
          <w:rFonts w:ascii="Arial" w:hAnsi="Arial" w:cs="Arial"/>
          <w:color w:val="000000" w:themeColor="text1"/>
          <w:sz w:val="18"/>
          <w:szCs w:val="18"/>
        </w:rPr>
        <w:t>jednozmianowym w godzinach od 7.00 do 15.</w:t>
      </w:r>
      <w:r w:rsidR="00FD20E0" w:rsidRPr="00AE64E1">
        <w:rPr>
          <w:rFonts w:ascii="Arial" w:hAnsi="Arial" w:cs="Arial"/>
          <w:color w:val="000000" w:themeColor="text1"/>
          <w:sz w:val="18"/>
          <w:szCs w:val="18"/>
        </w:rPr>
        <w:t>00, 5 dni w tygodniu, w przypadku większej ilości baterii przewidzianych do recyclingu dopuszcza się możliwość pracy</w:t>
      </w:r>
      <w:r w:rsidR="0011058D" w:rsidRPr="00AE64E1">
        <w:rPr>
          <w:rFonts w:ascii="Arial" w:hAnsi="Arial" w:cs="Arial"/>
          <w:color w:val="000000" w:themeColor="text1"/>
          <w:sz w:val="18"/>
          <w:szCs w:val="18"/>
        </w:rPr>
        <w:t xml:space="preserve"> zakł</w:t>
      </w:r>
      <w:r w:rsidR="00DA05B1" w:rsidRPr="00AE64E1">
        <w:rPr>
          <w:rFonts w:ascii="Arial" w:hAnsi="Arial" w:cs="Arial"/>
          <w:color w:val="000000" w:themeColor="text1"/>
          <w:sz w:val="18"/>
          <w:szCs w:val="18"/>
        </w:rPr>
        <w:t xml:space="preserve">adu w soboty w godzinach 7.00 - </w:t>
      </w:r>
      <w:r w:rsidR="0011058D" w:rsidRPr="00AE64E1">
        <w:rPr>
          <w:rFonts w:ascii="Arial" w:hAnsi="Arial" w:cs="Arial"/>
          <w:color w:val="000000" w:themeColor="text1"/>
          <w:sz w:val="18"/>
          <w:szCs w:val="18"/>
        </w:rPr>
        <w:t>15.</w:t>
      </w:r>
      <w:r w:rsidR="00FD20E0" w:rsidRPr="00AE64E1">
        <w:rPr>
          <w:rFonts w:ascii="Arial" w:hAnsi="Arial" w:cs="Arial"/>
          <w:color w:val="000000" w:themeColor="text1"/>
          <w:sz w:val="18"/>
          <w:szCs w:val="18"/>
        </w:rPr>
        <w:t>00.</w:t>
      </w:r>
      <w:r w:rsidR="000B282C" w:rsidRPr="00AE64E1">
        <w:rPr>
          <w:rFonts w:ascii="Arial" w:hAnsi="Arial" w:cs="Arial"/>
          <w:color w:val="000000" w:themeColor="text1"/>
          <w:sz w:val="18"/>
          <w:szCs w:val="18"/>
        </w:rPr>
        <w:t xml:space="preserve"> Funkcjo</w:t>
      </w:r>
      <w:r w:rsidR="004E3EFB" w:rsidRPr="00AE64E1">
        <w:rPr>
          <w:rFonts w:ascii="Arial" w:hAnsi="Arial" w:cs="Arial"/>
          <w:color w:val="000000" w:themeColor="text1"/>
          <w:sz w:val="18"/>
          <w:szCs w:val="18"/>
        </w:rPr>
        <w:t>nowanie zakładu nie będzie miało</w:t>
      </w:r>
      <w:r w:rsidR="000B282C" w:rsidRPr="00AE64E1">
        <w:rPr>
          <w:rFonts w:ascii="Arial" w:hAnsi="Arial" w:cs="Arial"/>
          <w:color w:val="000000" w:themeColor="text1"/>
          <w:sz w:val="18"/>
          <w:szCs w:val="18"/>
        </w:rPr>
        <w:t xml:space="preserve"> wpływu na istniejący obecnie punkt skupu </w:t>
      </w:r>
      <w:r w:rsidR="004E3EFB" w:rsidRPr="00AE64E1">
        <w:rPr>
          <w:rFonts w:ascii="Arial" w:hAnsi="Arial" w:cs="Arial"/>
          <w:color w:val="000000" w:themeColor="text1"/>
          <w:sz w:val="18"/>
          <w:szCs w:val="18"/>
        </w:rPr>
        <w:t>metali należący do firmy Syntom</w:t>
      </w:r>
      <w:r w:rsidR="000B282C" w:rsidRPr="00AE64E1">
        <w:rPr>
          <w:rFonts w:ascii="Arial" w:hAnsi="Arial" w:cs="Arial"/>
          <w:color w:val="000000" w:themeColor="text1"/>
          <w:sz w:val="18"/>
          <w:szCs w:val="18"/>
        </w:rPr>
        <w:t xml:space="preserve"> Metal Recycling.</w:t>
      </w:r>
    </w:p>
    <w:p w:rsidR="00E94B57" w:rsidRPr="00A9575C" w:rsidRDefault="00E94B57" w:rsidP="00E94B57">
      <w:pPr>
        <w:spacing w:line="276" w:lineRule="auto"/>
        <w:ind w:left="14" w:right="14"/>
        <w:rPr>
          <w:rFonts w:ascii="Arial" w:hAnsi="Arial" w:cs="Arial"/>
          <w:sz w:val="18"/>
          <w:szCs w:val="18"/>
        </w:rPr>
      </w:pPr>
    </w:p>
    <w:p w:rsidR="00B94EAA" w:rsidRPr="00A9575C" w:rsidRDefault="00A63FEB" w:rsidP="00653ADD">
      <w:pPr>
        <w:spacing w:after="56" w:line="276" w:lineRule="auto"/>
        <w:ind w:left="24" w:right="21" w:hanging="1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  <w:u w:val="single" w:color="000000"/>
        </w:rPr>
        <w:t xml:space="preserve">Faza </w:t>
      </w:r>
      <w:r w:rsidR="001E1084" w:rsidRPr="00A9575C">
        <w:rPr>
          <w:rFonts w:ascii="Arial" w:hAnsi="Arial" w:cs="Arial"/>
          <w:sz w:val="18"/>
          <w:szCs w:val="18"/>
          <w:u w:val="single" w:color="000000"/>
        </w:rPr>
        <w:t>realizacji</w:t>
      </w:r>
    </w:p>
    <w:p w:rsidR="00B94EAA" w:rsidRPr="004C54F2" w:rsidRDefault="00A63FEB" w:rsidP="00653ADD">
      <w:pPr>
        <w:spacing w:after="130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Faza real</w:t>
      </w:r>
      <w:r w:rsidR="006D42ED">
        <w:rPr>
          <w:rFonts w:ascii="Arial" w:hAnsi="Arial" w:cs="Arial"/>
          <w:sz w:val="18"/>
          <w:szCs w:val="18"/>
        </w:rPr>
        <w:t>izacji przedsięwzięcia obejmie</w:t>
      </w:r>
      <w:r w:rsidR="00F51536">
        <w:rPr>
          <w:rFonts w:ascii="Arial" w:hAnsi="Arial" w:cs="Arial"/>
          <w:sz w:val="18"/>
          <w:szCs w:val="18"/>
        </w:rPr>
        <w:t xml:space="preserve"> wykonanie zadaszonych boksów z gotowych bloczków betonowych, ustawienie szczelnej wanny do prowadzenia p</w:t>
      </w:r>
      <w:r w:rsidR="0011058D">
        <w:rPr>
          <w:rFonts w:ascii="Arial" w:hAnsi="Arial" w:cs="Arial"/>
          <w:sz w:val="18"/>
          <w:szCs w:val="18"/>
        </w:rPr>
        <w:t xml:space="preserve">rocesu rozładowania baterii, </w:t>
      </w:r>
      <w:r w:rsidR="006D42ED">
        <w:rPr>
          <w:rFonts w:ascii="Arial" w:hAnsi="Arial" w:cs="Arial"/>
          <w:sz w:val="18"/>
          <w:szCs w:val="18"/>
        </w:rPr>
        <w:t xml:space="preserve">wykonanie fragmentu utwardzenia </w:t>
      </w:r>
      <w:r w:rsidR="00DA05B1">
        <w:rPr>
          <w:rFonts w:ascii="Arial" w:hAnsi="Arial" w:cs="Arial"/>
          <w:sz w:val="18"/>
          <w:szCs w:val="18"/>
        </w:rPr>
        <w:br/>
      </w:r>
      <w:r w:rsidR="006D42ED">
        <w:rPr>
          <w:rFonts w:ascii="Arial" w:hAnsi="Arial" w:cs="Arial"/>
          <w:sz w:val="18"/>
          <w:szCs w:val="18"/>
        </w:rPr>
        <w:t>w celu umożliwienia przejazdu wózka widłowego z przyjętymi bateriami or</w:t>
      </w:r>
      <w:r w:rsidR="006B169C">
        <w:rPr>
          <w:rFonts w:ascii="Arial" w:hAnsi="Arial" w:cs="Arial"/>
          <w:sz w:val="18"/>
          <w:szCs w:val="18"/>
        </w:rPr>
        <w:t>az utwardzenia powierzchni około 0,02 ha</w:t>
      </w:r>
      <w:r w:rsidR="00B640D7">
        <w:rPr>
          <w:rFonts w:ascii="Arial" w:hAnsi="Arial" w:cs="Arial"/>
          <w:sz w:val="18"/>
          <w:szCs w:val="18"/>
        </w:rPr>
        <w:t>, na którym będą wykonywane boksy w postaci murów oporowych z bloczków betonowych. Utwardzenie do celów komunikacji</w:t>
      </w:r>
      <w:r w:rsidR="004C54F2">
        <w:rPr>
          <w:rFonts w:ascii="Arial" w:hAnsi="Arial" w:cs="Arial"/>
          <w:sz w:val="18"/>
          <w:szCs w:val="18"/>
        </w:rPr>
        <w:t xml:space="preserve"> wykonane będzie z gotowych płyt betonowych i </w:t>
      </w:r>
      <w:r w:rsidR="00B640D7">
        <w:rPr>
          <w:rFonts w:ascii="Arial" w:hAnsi="Arial" w:cs="Arial"/>
          <w:sz w:val="18"/>
          <w:szCs w:val="18"/>
        </w:rPr>
        <w:t xml:space="preserve"> </w:t>
      </w:r>
      <w:r w:rsidR="004C54F2">
        <w:rPr>
          <w:rFonts w:ascii="Arial" w:hAnsi="Arial" w:cs="Arial"/>
          <w:sz w:val="18"/>
          <w:szCs w:val="18"/>
        </w:rPr>
        <w:t>będzie</w:t>
      </w:r>
      <w:r w:rsidR="00B640D7">
        <w:rPr>
          <w:rFonts w:ascii="Arial" w:hAnsi="Arial" w:cs="Arial"/>
          <w:sz w:val="18"/>
          <w:szCs w:val="18"/>
        </w:rPr>
        <w:t xml:space="preserve"> miało szerokość </w:t>
      </w:r>
      <w:r w:rsidR="004C54F2">
        <w:rPr>
          <w:rFonts w:ascii="Arial" w:hAnsi="Arial" w:cs="Arial"/>
          <w:sz w:val="18"/>
          <w:szCs w:val="18"/>
        </w:rPr>
        <w:t>do 6 m oraz długość około 45 m.</w:t>
      </w:r>
      <w:r w:rsidR="00A11F8A">
        <w:rPr>
          <w:rFonts w:ascii="Arial" w:hAnsi="Arial" w:cs="Arial"/>
          <w:sz w:val="18"/>
          <w:szCs w:val="18"/>
        </w:rPr>
        <w:t xml:space="preserve"> </w:t>
      </w:r>
      <w:r w:rsidR="004C54F2">
        <w:rPr>
          <w:rFonts w:ascii="Arial" w:hAnsi="Arial" w:cs="Arial"/>
          <w:sz w:val="18"/>
          <w:szCs w:val="18"/>
        </w:rPr>
        <w:t xml:space="preserve">Powierzchnia tego utwardzenia będzie wynosiła około </w:t>
      </w:r>
      <w:r w:rsidR="006B169C">
        <w:rPr>
          <w:rFonts w:ascii="Arial" w:hAnsi="Arial" w:cs="Arial"/>
          <w:sz w:val="18"/>
          <w:szCs w:val="18"/>
        </w:rPr>
        <w:t>0,027 ha</w:t>
      </w:r>
      <w:r w:rsidR="00A11F8A">
        <w:rPr>
          <w:rFonts w:ascii="Arial" w:hAnsi="Arial" w:cs="Arial"/>
          <w:sz w:val="18"/>
          <w:szCs w:val="18"/>
        </w:rPr>
        <w:t xml:space="preserve">. W ramach prac inwestycyjnych nie przewiduje się wykonywania głębokich wykopów ani fundamentowania, samo utwardzenie terenu  pod wewnętrzną drogę oraz boksy odbędzie się przy minimalnej ingerencji w grunt rodzimy. </w:t>
      </w:r>
      <w:r w:rsidR="007C072D">
        <w:rPr>
          <w:rFonts w:ascii="Arial" w:hAnsi="Arial" w:cs="Arial"/>
          <w:sz w:val="18"/>
          <w:szCs w:val="18"/>
        </w:rPr>
        <w:t>Jak wskazał autor karty informacyjnej przedsięwzięcia sam proces przygotowania terenu będzie</w:t>
      </w:r>
      <w:r w:rsidR="00F356ED">
        <w:rPr>
          <w:rFonts w:ascii="Arial" w:hAnsi="Arial" w:cs="Arial"/>
          <w:sz w:val="18"/>
          <w:szCs w:val="18"/>
        </w:rPr>
        <w:t xml:space="preserve"> krótkotrwały </w:t>
      </w:r>
      <w:r w:rsidR="007C072D">
        <w:rPr>
          <w:rFonts w:ascii="Arial" w:hAnsi="Arial" w:cs="Arial"/>
          <w:sz w:val="18"/>
          <w:szCs w:val="18"/>
        </w:rPr>
        <w:t>i związany z wykorzystaniem niewielkiej ilości maszyn budowlanych. Woda na cele sanitarno – bytowe pobierana będzie z istniejącej sieci wodociągowej. Ścieki socjalno –</w:t>
      </w:r>
      <w:r w:rsidR="00F356ED">
        <w:rPr>
          <w:rFonts w:ascii="Arial" w:hAnsi="Arial" w:cs="Arial"/>
          <w:sz w:val="18"/>
          <w:szCs w:val="18"/>
        </w:rPr>
        <w:t xml:space="preserve"> bytowe </w:t>
      </w:r>
      <w:r w:rsidR="007C072D">
        <w:rPr>
          <w:rFonts w:ascii="Arial" w:hAnsi="Arial" w:cs="Arial"/>
          <w:sz w:val="18"/>
          <w:szCs w:val="18"/>
        </w:rPr>
        <w:t>odprowadzane będą do istniejącego szczelnego zbiorn</w:t>
      </w:r>
      <w:r w:rsidR="00F356ED">
        <w:rPr>
          <w:rFonts w:ascii="Arial" w:hAnsi="Arial" w:cs="Arial"/>
          <w:sz w:val="18"/>
          <w:szCs w:val="18"/>
        </w:rPr>
        <w:t>ika bezodpływowego</w:t>
      </w:r>
      <w:r w:rsidR="007C072D">
        <w:rPr>
          <w:rFonts w:ascii="Arial" w:hAnsi="Arial" w:cs="Arial"/>
          <w:sz w:val="18"/>
          <w:szCs w:val="18"/>
        </w:rPr>
        <w:t xml:space="preserve">. </w:t>
      </w:r>
      <w:r w:rsidR="004215DB">
        <w:rPr>
          <w:rFonts w:ascii="Arial" w:hAnsi="Arial" w:cs="Arial"/>
          <w:sz w:val="18"/>
          <w:szCs w:val="18"/>
        </w:rPr>
        <w:t>Wody opadowe i roztopowe będą odprowadzane bezpośrednio do gruntu.</w:t>
      </w:r>
    </w:p>
    <w:p w:rsidR="00B94EAA" w:rsidRDefault="00A63FEB" w:rsidP="009309AB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lastRenderedPageBreak/>
        <w:t>W fazie realizacji inwestycji nastąpi krótkotrwały wzrost poziomu substancji zanieczyszczających wprowadzanych do powietrza atmosferycznego oraz poziomu emitowanego hałasu związanego</w:t>
      </w:r>
      <w:r w:rsidR="006B169C">
        <w:rPr>
          <w:rFonts w:ascii="Arial" w:hAnsi="Arial" w:cs="Arial"/>
          <w:sz w:val="18"/>
          <w:szCs w:val="18"/>
        </w:rPr>
        <w:t xml:space="preserve"> głó</w:t>
      </w:r>
      <w:r w:rsidR="00BD7666">
        <w:rPr>
          <w:rFonts w:ascii="Arial" w:hAnsi="Arial" w:cs="Arial"/>
          <w:sz w:val="18"/>
          <w:szCs w:val="18"/>
        </w:rPr>
        <w:t xml:space="preserve">wnie z pracą maszyn budowlanych. </w:t>
      </w:r>
      <w:r w:rsidRPr="00A9575C">
        <w:rPr>
          <w:rFonts w:ascii="Arial" w:hAnsi="Arial" w:cs="Arial"/>
          <w:sz w:val="18"/>
          <w:szCs w:val="18"/>
        </w:rPr>
        <w:t>Będą to oddziaływania o lokalnym zasięgu i za</w:t>
      </w:r>
      <w:r w:rsidR="009309AB">
        <w:rPr>
          <w:rFonts w:ascii="Arial" w:hAnsi="Arial" w:cs="Arial"/>
          <w:sz w:val="18"/>
          <w:szCs w:val="18"/>
        </w:rPr>
        <w:t xml:space="preserve">kończą się wraz z ustaniem prac. </w:t>
      </w:r>
      <w:r w:rsidRPr="00A9575C">
        <w:rPr>
          <w:rFonts w:ascii="Arial" w:hAnsi="Arial" w:cs="Arial"/>
          <w:sz w:val="18"/>
          <w:szCs w:val="18"/>
        </w:rPr>
        <w:t xml:space="preserve">W </w:t>
      </w:r>
      <w:r w:rsidR="00660D7D">
        <w:rPr>
          <w:rFonts w:ascii="Arial" w:hAnsi="Arial" w:cs="Arial"/>
          <w:sz w:val="18"/>
          <w:szCs w:val="18"/>
        </w:rPr>
        <w:t>celu</w:t>
      </w:r>
      <w:r w:rsidRPr="00A9575C">
        <w:rPr>
          <w:rFonts w:ascii="Arial" w:hAnsi="Arial" w:cs="Arial"/>
          <w:sz w:val="18"/>
          <w:szCs w:val="18"/>
        </w:rPr>
        <w:t xml:space="preserve"> ograniczenia emisji pyłów oraz hałasu do środowiska podczas realizacji przedsięwzięcia Inwestor zobowiązał się</w:t>
      </w:r>
      <w:r w:rsidR="009309AB">
        <w:rPr>
          <w:rFonts w:ascii="Arial" w:hAnsi="Arial" w:cs="Arial"/>
          <w:sz w:val="18"/>
          <w:szCs w:val="18"/>
        </w:rPr>
        <w:t xml:space="preserve"> m.in. </w:t>
      </w:r>
      <w:r w:rsidRPr="00A9575C">
        <w:rPr>
          <w:rFonts w:ascii="Arial" w:hAnsi="Arial" w:cs="Arial"/>
          <w:sz w:val="18"/>
          <w:szCs w:val="18"/>
        </w:rPr>
        <w:t>do stosowania maszyn i urządzeń w d</w:t>
      </w:r>
      <w:r w:rsidR="004E3EFB">
        <w:rPr>
          <w:rFonts w:ascii="Arial" w:hAnsi="Arial" w:cs="Arial"/>
          <w:sz w:val="18"/>
          <w:szCs w:val="18"/>
        </w:rPr>
        <w:t xml:space="preserve">obrym stanie technicznym oraz </w:t>
      </w:r>
      <w:r w:rsidR="00922DE8">
        <w:rPr>
          <w:rFonts w:ascii="Arial" w:hAnsi="Arial" w:cs="Arial"/>
          <w:sz w:val="18"/>
          <w:szCs w:val="18"/>
        </w:rPr>
        <w:t xml:space="preserve">wyłączania silników pojazdów w trakcie postoju. </w:t>
      </w:r>
    </w:p>
    <w:p w:rsidR="009309AB" w:rsidRPr="009309AB" w:rsidRDefault="009309AB" w:rsidP="009309AB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Podczas prac inwestycyjnych nie przewiduje się generowania znacznych ilości odpadów. Jak wskazał autor karty informacyjnej przedsięwzięcia na etapie utwardzania terenu przed położeniem płyt oraz ustawieniem boksów </w:t>
      </w:r>
      <w:r>
        <w:rPr>
          <w:rFonts w:ascii="Arial" w:hAnsi="Arial" w:cs="Arial"/>
          <w:sz w:val="18"/>
          <w:szCs w:val="18"/>
        </w:rPr>
        <w:br/>
        <w:t>z bloczków betonowych może powstać kilkadziesiąt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wierzchniej warstwy ziemi, która zostanie wykorzystywana w miejscu inwestycji. Niewykorzystany nadmiar w postaci odpadu zostanie przekazany uprawnionym odbiorcom </w:t>
      </w:r>
      <w:r>
        <w:rPr>
          <w:rFonts w:ascii="Arial" w:hAnsi="Arial" w:cs="Arial"/>
          <w:sz w:val="18"/>
          <w:szCs w:val="18"/>
        </w:rPr>
        <w:br/>
        <w:t>w celu dalszego zagospodarowania.</w:t>
      </w:r>
    </w:p>
    <w:p w:rsidR="00B94EAA" w:rsidRPr="00A9575C" w:rsidRDefault="00A63FEB" w:rsidP="008712CD">
      <w:pPr>
        <w:spacing w:after="73" w:line="276" w:lineRule="auto"/>
        <w:ind w:left="24" w:right="-425" w:hanging="1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  <w:u w:val="single" w:color="000000"/>
        </w:rPr>
        <w:t xml:space="preserve">Etap </w:t>
      </w:r>
      <w:r w:rsidR="001E1084" w:rsidRPr="00A9575C">
        <w:rPr>
          <w:rFonts w:ascii="Arial" w:hAnsi="Arial" w:cs="Arial"/>
          <w:sz w:val="18"/>
          <w:szCs w:val="18"/>
          <w:u w:val="single" w:color="000000"/>
        </w:rPr>
        <w:t>eksploatacji</w:t>
      </w:r>
    </w:p>
    <w:p w:rsidR="001E1084" w:rsidRDefault="006B169C" w:rsidP="00DA05B1">
      <w:pPr>
        <w:spacing w:after="120" w:line="276" w:lineRule="auto"/>
        <w:ind w:left="11" w:right="-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Etap eksploatacji związany będzie ze zbieraniem, magazynowaniem i ewentualnym przetwarzaniem</w:t>
      </w:r>
      <w:r w:rsidR="00A43DE9">
        <w:rPr>
          <w:rFonts w:ascii="Arial" w:hAnsi="Arial" w:cs="Arial"/>
          <w:sz w:val="18"/>
          <w:szCs w:val="18"/>
        </w:rPr>
        <w:t xml:space="preserve"> odpadów </w:t>
      </w:r>
      <w:r w:rsidR="00A43DE9">
        <w:rPr>
          <w:rFonts w:ascii="Arial" w:hAnsi="Arial" w:cs="Arial"/>
          <w:sz w:val="18"/>
          <w:szCs w:val="18"/>
        </w:rPr>
        <w:br/>
        <w:t>w postaci baterii alkalicznych czy akumulatorów.</w:t>
      </w:r>
      <w:r>
        <w:rPr>
          <w:rFonts w:ascii="Arial" w:hAnsi="Arial" w:cs="Arial"/>
          <w:sz w:val="18"/>
          <w:szCs w:val="18"/>
        </w:rPr>
        <w:t xml:space="preserve"> </w:t>
      </w:r>
      <w:r w:rsidR="00CF647E">
        <w:rPr>
          <w:rFonts w:ascii="Arial" w:hAnsi="Arial" w:cs="Arial"/>
          <w:sz w:val="18"/>
          <w:szCs w:val="18"/>
        </w:rPr>
        <w:t xml:space="preserve">Planowane przedsięwzięcie wpisuje się w istniejące warunki, </w:t>
      </w:r>
      <w:r w:rsidR="00F54774">
        <w:rPr>
          <w:rFonts w:ascii="Arial" w:hAnsi="Arial" w:cs="Arial"/>
          <w:sz w:val="18"/>
          <w:szCs w:val="18"/>
        </w:rPr>
        <w:br/>
      </w:r>
      <w:r w:rsidR="00CF647E">
        <w:rPr>
          <w:rFonts w:ascii="Arial" w:hAnsi="Arial" w:cs="Arial"/>
          <w:sz w:val="18"/>
          <w:szCs w:val="18"/>
        </w:rPr>
        <w:t>w celu funkcjonowania inwestycji wykorzystana zostanie istniejąca infrastruktura m.in. waga samochodowa, zaplecze socjalne oraz istniejący zjazd z drogi publicznej. Na potrzeby realizacji inwestycji niezbędne będzie jedynie wykonanie fragmentu utwardzenia w celu umożliwienia przejazdu wózka widłowego</w:t>
      </w:r>
      <w:r w:rsidR="00B658C8">
        <w:rPr>
          <w:rFonts w:ascii="Arial" w:hAnsi="Arial" w:cs="Arial"/>
          <w:sz w:val="18"/>
          <w:szCs w:val="18"/>
        </w:rPr>
        <w:t xml:space="preserve"> z przyjętymi bateriami oraz utwardzenie powierzchni </w:t>
      </w:r>
      <w:r w:rsidR="00F54774">
        <w:rPr>
          <w:rFonts w:ascii="Arial" w:hAnsi="Arial" w:cs="Arial"/>
          <w:sz w:val="18"/>
          <w:szCs w:val="18"/>
        </w:rPr>
        <w:t>około 0,02 ha</w:t>
      </w:r>
      <w:r w:rsidR="00B658C8">
        <w:rPr>
          <w:rFonts w:ascii="Arial" w:hAnsi="Arial" w:cs="Arial"/>
          <w:sz w:val="18"/>
          <w:szCs w:val="18"/>
        </w:rPr>
        <w:t xml:space="preserve">, na którym będą wykonywane boksy w postaci murów oporowych </w:t>
      </w:r>
      <w:r w:rsidR="00CA1544">
        <w:rPr>
          <w:rFonts w:ascii="Arial" w:hAnsi="Arial" w:cs="Arial"/>
          <w:sz w:val="18"/>
          <w:szCs w:val="18"/>
        </w:rPr>
        <w:br/>
      </w:r>
      <w:r w:rsidR="00B658C8">
        <w:rPr>
          <w:rFonts w:ascii="Arial" w:hAnsi="Arial" w:cs="Arial"/>
          <w:sz w:val="18"/>
          <w:szCs w:val="18"/>
        </w:rPr>
        <w:t>z bloczków betonowych.</w:t>
      </w:r>
    </w:p>
    <w:p w:rsidR="0037147A" w:rsidRDefault="00090B56" w:rsidP="00DA05B1">
      <w:pPr>
        <w:spacing w:after="120" w:line="276" w:lineRule="auto"/>
        <w:ind w:left="0" w:right="-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Planowane do realizacji boksy nie będą wymagały ogrzewania, pomieszczenia socjalne, które będą </w:t>
      </w:r>
      <w:r w:rsidR="006E446A">
        <w:rPr>
          <w:rFonts w:ascii="Arial" w:hAnsi="Arial" w:cs="Arial"/>
          <w:sz w:val="18"/>
          <w:szCs w:val="18"/>
        </w:rPr>
        <w:t xml:space="preserve">użytkowane przez Inwestora  znajdują się w istniejącym już budynku  i są ogrzewane przy pomocy energii elektrycznej. Energia elektryczna wykorzystywana będzie ponadto do oświetlenia pomieszczeń socjalnych wewnątrz budynku oraz podtrzymania pracy urządzeń monitorujących i wagi samochodowej. Planowana inwestycja nie </w:t>
      </w:r>
      <w:r w:rsidR="00641AE5">
        <w:rPr>
          <w:rFonts w:ascii="Arial" w:hAnsi="Arial" w:cs="Arial"/>
          <w:sz w:val="18"/>
          <w:szCs w:val="18"/>
        </w:rPr>
        <w:t>wiąże</w:t>
      </w:r>
      <w:r w:rsidR="006E446A">
        <w:rPr>
          <w:rFonts w:ascii="Arial" w:hAnsi="Arial" w:cs="Arial"/>
          <w:sz w:val="18"/>
          <w:szCs w:val="18"/>
        </w:rPr>
        <w:t xml:space="preserve"> się </w:t>
      </w:r>
      <w:r w:rsidR="00641AE5">
        <w:rPr>
          <w:rFonts w:ascii="Arial" w:hAnsi="Arial" w:cs="Arial"/>
          <w:sz w:val="18"/>
          <w:szCs w:val="18"/>
        </w:rPr>
        <w:br/>
      </w:r>
      <w:r w:rsidR="006E446A">
        <w:rPr>
          <w:rFonts w:ascii="Arial" w:hAnsi="Arial" w:cs="Arial"/>
          <w:sz w:val="18"/>
          <w:szCs w:val="18"/>
        </w:rPr>
        <w:t>z instalowaniem nowych energochłonnych urządzeń.</w:t>
      </w:r>
      <w:r w:rsidR="00641AE5">
        <w:rPr>
          <w:rFonts w:ascii="Arial" w:hAnsi="Arial" w:cs="Arial"/>
          <w:sz w:val="18"/>
          <w:szCs w:val="18"/>
        </w:rPr>
        <w:t xml:space="preserve"> W związku z pracą planowanego punktu wykorzystywany będzie wózek widłowy zasilany gazem LPG. </w:t>
      </w:r>
      <w:r w:rsidR="00B658C8">
        <w:rPr>
          <w:rFonts w:ascii="Arial" w:hAnsi="Arial" w:cs="Arial"/>
          <w:sz w:val="18"/>
          <w:szCs w:val="18"/>
        </w:rPr>
        <w:t xml:space="preserve">Podczas użytkowania przedsięwzięcia woda używana będzie wyłącznie do celów socjalno – bytowych. Woda pobierana jest i będzie z istniejącej sieci wodociągowej. Ścieki socjalno – bytowe odprowadzane będą do istniejącego szczelnego zbiornika bezodpływowego o pojemności </w:t>
      </w:r>
      <w:r w:rsidR="00641AE5">
        <w:rPr>
          <w:rFonts w:ascii="Arial" w:hAnsi="Arial" w:cs="Arial"/>
          <w:sz w:val="18"/>
          <w:szCs w:val="18"/>
        </w:rPr>
        <w:br/>
      </w:r>
      <w:r w:rsidR="00B658C8">
        <w:rPr>
          <w:rFonts w:ascii="Arial" w:hAnsi="Arial" w:cs="Arial"/>
          <w:sz w:val="18"/>
          <w:szCs w:val="18"/>
        </w:rPr>
        <w:t>10 m</w:t>
      </w:r>
      <w:r w:rsidR="00B658C8">
        <w:rPr>
          <w:rFonts w:ascii="Arial" w:hAnsi="Arial" w:cs="Arial"/>
          <w:sz w:val="18"/>
          <w:szCs w:val="18"/>
          <w:vertAlign w:val="superscript"/>
        </w:rPr>
        <w:t>3</w:t>
      </w:r>
      <w:r w:rsidR="00B658C8">
        <w:rPr>
          <w:rFonts w:ascii="Arial" w:hAnsi="Arial" w:cs="Arial"/>
          <w:sz w:val="18"/>
          <w:szCs w:val="18"/>
        </w:rPr>
        <w:t>. Szacowana ilość produkowanych ścieków będzie wynosić około 0,135 m</w:t>
      </w:r>
      <w:r w:rsidR="00B658C8">
        <w:rPr>
          <w:rFonts w:ascii="Arial" w:hAnsi="Arial" w:cs="Arial"/>
          <w:sz w:val="18"/>
          <w:szCs w:val="18"/>
          <w:vertAlign w:val="superscript"/>
        </w:rPr>
        <w:t>3</w:t>
      </w:r>
      <w:r w:rsidR="00F4304D">
        <w:rPr>
          <w:rFonts w:ascii="Arial" w:hAnsi="Arial" w:cs="Arial"/>
          <w:sz w:val="18"/>
          <w:szCs w:val="18"/>
        </w:rPr>
        <w:t xml:space="preserve"> dziennie. </w:t>
      </w:r>
      <w:r w:rsidR="004E3EFB">
        <w:rPr>
          <w:rFonts w:ascii="Arial" w:hAnsi="Arial" w:cs="Arial"/>
          <w:sz w:val="18"/>
          <w:szCs w:val="18"/>
        </w:rPr>
        <w:t xml:space="preserve">Ścieki ze zbiorników wywożone będą </w:t>
      </w:r>
      <w:r w:rsidR="00F4304D">
        <w:rPr>
          <w:rFonts w:ascii="Arial" w:hAnsi="Arial" w:cs="Arial"/>
          <w:sz w:val="18"/>
          <w:szCs w:val="18"/>
        </w:rPr>
        <w:t>wozami asenizacyjnymi przez uprawnione podmioty, posiadające stosowne zezwolenia w tym zakresie.</w:t>
      </w:r>
      <w:r>
        <w:rPr>
          <w:rFonts w:ascii="Arial" w:hAnsi="Arial" w:cs="Arial"/>
          <w:sz w:val="18"/>
          <w:szCs w:val="18"/>
        </w:rPr>
        <w:t xml:space="preserve"> </w:t>
      </w:r>
      <w:r w:rsidR="00641AE5">
        <w:rPr>
          <w:rFonts w:ascii="Arial" w:hAnsi="Arial" w:cs="Arial"/>
          <w:sz w:val="18"/>
          <w:szCs w:val="18"/>
        </w:rPr>
        <w:t>Jak wskazano w karcie informacyjnej przedsięwzięcia</w:t>
      </w:r>
      <w:r w:rsidR="0011058D">
        <w:rPr>
          <w:rFonts w:ascii="Arial" w:hAnsi="Arial" w:cs="Arial"/>
          <w:sz w:val="18"/>
          <w:szCs w:val="18"/>
        </w:rPr>
        <w:t xml:space="preserve"> przedmiotowy punkt zbierania baterii jak również</w:t>
      </w:r>
      <w:r w:rsidR="00641AE5">
        <w:rPr>
          <w:rFonts w:ascii="Arial" w:hAnsi="Arial" w:cs="Arial"/>
          <w:sz w:val="18"/>
          <w:szCs w:val="18"/>
        </w:rPr>
        <w:t xml:space="preserve"> działalność prowadzona przez firmę Syntom Metal Recy</w:t>
      </w:r>
      <w:r w:rsidR="004E3EFB">
        <w:rPr>
          <w:rFonts w:ascii="Arial" w:hAnsi="Arial" w:cs="Arial"/>
          <w:sz w:val="18"/>
          <w:szCs w:val="18"/>
        </w:rPr>
        <w:t xml:space="preserve">cling Sp. z o .o . </w:t>
      </w:r>
      <w:r w:rsidR="0011058D">
        <w:rPr>
          <w:rFonts w:ascii="Arial" w:hAnsi="Arial" w:cs="Arial"/>
          <w:sz w:val="18"/>
          <w:szCs w:val="18"/>
        </w:rPr>
        <w:t xml:space="preserve">prowadzony </w:t>
      </w:r>
      <w:r w:rsidR="004E3EFB">
        <w:rPr>
          <w:rFonts w:ascii="Arial" w:hAnsi="Arial" w:cs="Arial"/>
          <w:sz w:val="18"/>
          <w:szCs w:val="18"/>
        </w:rPr>
        <w:t xml:space="preserve">będzie </w:t>
      </w:r>
      <w:r w:rsidR="00641AE5">
        <w:rPr>
          <w:rFonts w:ascii="Arial" w:hAnsi="Arial" w:cs="Arial"/>
          <w:sz w:val="18"/>
          <w:szCs w:val="18"/>
        </w:rPr>
        <w:t xml:space="preserve">pod zadaszeniem, </w:t>
      </w:r>
      <w:r w:rsidR="004E3EFB">
        <w:rPr>
          <w:rFonts w:ascii="Arial" w:hAnsi="Arial" w:cs="Arial"/>
          <w:sz w:val="18"/>
          <w:szCs w:val="18"/>
        </w:rPr>
        <w:br/>
      </w:r>
      <w:r w:rsidR="00641AE5">
        <w:rPr>
          <w:rFonts w:ascii="Arial" w:hAnsi="Arial" w:cs="Arial"/>
          <w:sz w:val="18"/>
          <w:szCs w:val="18"/>
        </w:rPr>
        <w:t xml:space="preserve">w związku z </w:t>
      </w:r>
      <w:r w:rsidR="00C33256">
        <w:rPr>
          <w:rFonts w:ascii="Arial" w:hAnsi="Arial" w:cs="Arial"/>
          <w:sz w:val="18"/>
          <w:szCs w:val="18"/>
        </w:rPr>
        <w:t>czym woda  opadowa nie ma i nie będzie miała kontaktu z odpadami, zatem należy traktować ją jako czystą.</w:t>
      </w:r>
      <w:r w:rsidR="00D63774">
        <w:rPr>
          <w:rFonts w:ascii="Arial" w:hAnsi="Arial" w:cs="Arial"/>
          <w:sz w:val="18"/>
          <w:szCs w:val="18"/>
        </w:rPr>
        <w:t xml:space="preserve"> Tak jak ma to miejsce obecnie, również po zrealizowaniu przedsięwzięcia wody opadowe  będą infiltrowały swobodnie w teren biologicznie czynny. Z treści karty informacyjnej przedsięwzięcia wynika również, że teren zielony stanowi prawie 70 % całości terenu, zatem wody te swobodnie będą mogły naturalnie wsiąkać w teren nie powodując zagrożenia dla działek sąsiednich.</w:t>
      </w:r>
      <w:r w:rsidR="0037147A">
        <w:rPr>
          <w:rFonts w:ascii="Arial" w:hAnsi="Arial" w:cs="Arial"/>
          <w:sz w:val="18"/>
          <w:szCs w:val="18"/>
        </w:rPr>
        <w:t xml:space="preserve"> Ścieki deszczowe pochodzące z terenu omawianej inwestycji </w:t>
      </w:r>
      <w:r w:rsidR="00CA1544">
        <w:rPr>
          <w:rFonts w:ascii="Arial" w:hAnsi="Arial" w:cs="Arial"/>
          <w:sz w:val="18"/>
          <w:szCs w:val="18"/>
        </w:rPr>
        <w:br/>
      </w:r>
      <w:r w:rsidR="0037147A">
        <w:rPr>
          <w:rFonts w:ascii="Arial" w:hAnsi="Arial" w:cs="Arial"/>
          <w:sz w:val="18"/>
          <w:szCs w:val="18"/>
        </w:rPr>
        <w:t>tj. z powierzchni dachowej czy utwardzonej będą w swoim składzie głównie zawierały zawiesinę mineralną oraz substancje rozpuszczone, będące naturalnymi składnikami wód opadowych  i są to tzw. ścieki czyste.</w:t>
      </w:r>
    </w:p>
    <w:p w:rsidR="0037147A" w:rsidRDefault="0037147A" w:rsidP="00CA1544">
      <w:pPr>
        <w:spacing w:after="120" w:line="276" w:lineRule="auto"/>
        <w:ind w:left="11" w:right="-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 karty informacyjnej przedsięwzięcia wskazał, iż z uwagi na skalę i charakter przedmiotowego przedsięwzięcia nie przewiduje się ponadnormatywnej emisji gazów i pyłów do powietrza. Na etapie użytkowania punktu będzie miała miejsce jedynie niezorganizowana emisja pyłów i spalin ze środków transportu poruszających się po terenie inwestycji. Oddziaływanie w tym zakresie będzie miało charakter</w:t>
      </w:r>
      <w:r w:rsidR="00A74966">
        <w:rPr>
          <w:rFonts w:ascii="Arial" w:hAnsi="Arial" w:cs="Arial"/>
          <w:sz w:val="18"/>
          <w:szCs w:val="18"/>
        </w:rPr>
        <w:t xml:space="preserve"> lokalny i powinno zamknąć się </w:t>
      </w:r>
      <w:r>
        <w:rPr>
          <w:rFonts w:ascii="Arial" w:hAnsi="Arial" w:cs="Arial"/>
          <w:sz w:val="18"/>
          <w:szCs w:val="18"/>
        </w:rPr>
        <w:t>w obrębie działki, na której będzie prowadzona działalność.</w:t>
      </w:r>
    </w:p>
    <w:p w:rsidR="00F54774" w:rsidRPr="00AB1F89" w:rsidRDefault="00F54774" w:rsidP="00AB1F89">
      <w:pPr>
        <w:spacing w:after="120" w:line="276" w:lineRule="auto"/>
        <w:ind w:left="11" w:right="-6" w:firstLine="6"/>
        <w:rPr>
          <w:rFonts w:ascii="Arial" w:eastAsia="Times New Roman" w:hAnsi="Arial" w:cs="Arial"/>
          <w:sz w:val="18"/>
          <w:szCs w:val="18"/>
        </w:rPr>
      </w:pPr>
      <w:r w:rsidRPr="00AB1F89">
        <w:rPr>
          <w:rFonts w:ascii="Arial" w:eastAsia="Times New Roman" w:hAnsi="Arial" w:cs="Arial"/>
          <w:sz w:val="18"/>
          <w:szCs w:val="18"/>
        </w:rPr>
        <w:t xml:space="preserve">Eksploatacja inwestycji będzie wiązać się z emisją hałasu. Wpływ na klimat akustyczny związany będzie </w:t>
      </w:r>
      <w:r w:rsidRPr="00AB1F89">
        <w:rPr>
          <w:rFonts w:ascii="Arial" w:eastAsia="Times New Roman" w:hAnsi="Arial" w:cs="Arial"/>
          <w:sz w:val="18"/>
          <w:szCs w:val="18"/>
        </w:rPr>
        <w:br/>
        <w:t>w szczególności z ruchem samochodowym na terenie zakładu. Na potrzeby wykonania obliczeń emisji hałasu przyjęto następujące źródła hałasu (uwzględniające zarówno planowaną instalację, jak również funkcjonujący zakład fir</w:t>
      </w:r>
      <w:r w:rsidR="00AB1F89" w:rsidRPr="00AB1F89">
        <w:rPr>
          <w:rFonts w:ascii="Arial" w:eastAsia="Times New Roman" w:hAnsi="Arial" w:cs="Arial"/>
          <w:sz w:val="18"/>
          <w:szCs w:val="18"/>
        </w:rPr>
        <w:t>my Syntom Metal Recykling): halę</w:t>
      </w:r>
      <w:r w:rsidRPr="00AB1F89">
        <w:rPr>
          <w:rFonts w:ascii="Arial" w:eastAsia="Times New Roman" w:hAnsi="Arial" w:cs="Arial"/>
          <w:sz w:val="18"/>
          <w:szCs w:val="18"/>
        </w:rPr>
        <w:t xml:space="preserve"> (w której magazyno</w:t>
      </w:r>
      <w:r w:rsidR="00AB1F89" w:rsidRPr="00AB1F89">
        <w:rPr>
          <w:rFonts w:ascii="Arial" w:eastAsia="Times New Roman" w:hAnsi="Arial" w:cs="Arial"/>
          <w:sz w:val="18"/>
          <w:szCs w:val="18"/>
        </w:rPr>
        <w:t>wane są odpady metalowych), wagę</w:t>
      </w:r>
      <w:r w:rsidRPr="00AB1F89">
        <w:rPr>
          <w:rFonts w:ascii="Arial" w:eastAsia="Times New Roman" w:hAnsi="Arial" w:cs="Arial"/>
          <w:sz w:val="18"/>
          <w:szCs w:val="18"/>
        </w:rPr>
        <w:t xml:space="preserve"> samocho</w:t>
      </w:r>
      <w:r w:rsidR="00AB1F89" w:rsidRPr="00AB1F89">
        <w:rPr>
          <w:rFonts w:ascii="Arial" w:eastAsia="Times New Roman" w:hAnsi="Arial" w:cs="Arial"/>
          <w:sz w:val="18"/>
          <w:szCs w:val="18"/>
        </w:rPr>
        <w:t>dową</w:t>
      </w:r>
      <w:r w:rsidRPr="00AB1F89">
        <w:rPr>
          <w:rFonts w:ascii="Arial" w:eastAsia="Times New Roman" w:hAnsi="Arial" w:cs="Arial"/>
          <w:sz w:val="18"/>
          <w:szCs w:val="18"/>
        </w:rPr>
        <w:t xml:space="preserve"> oraz ruch samochodowy (15 szt. samochodów osobowych i dostawczych, 2 szt. samochodów ciężarowych oraz przejazdy wózka widłowego). Najbliższymi terenami chronionymi akustycznie są tereny zabudowy mieszkaniowej jednorodzinnej - zlokalizowane w odległości ok. 90 m (na działkach nr 2/12 oraz 2/13 obręb Dąbie 58). Przeprowadzona analiza w zakresie emisji hałasu nie wykazała jednak przekroczeń obowiązujących w tym zakresie norm w odniesieniu do ww. terenów. Otrzymany w wyniku modelowania poziom hałasu wyniósł 37,7 - 38,5 dB, przy obowiązujących normach na poziomie 50 dB w porze dnia oraz 40 dB w porze nocy.</w:t>
      </w:r>
    </w:p>
    <w:p w:rsidR="00F54774" w:rsidRDefault="00F54774" w:rsidP="00AB1F89">
      <w:pPr>
        <w:spacing w:after="120" w:line="276" w:lineRule="auto"/>
        <w:ind w:left="0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trakcie eksploatacji przedsięwzięcia powstawać będą głównie odpady komunalne powstające w wyniku funkcjonowania zaplecza socjalnego oraz biura. Powstałe odpady będą odbierane przez firmy posiadające stosowne uprawnienia w tym zakresie. W trakcie prowadzenia działalności powstanie odpad o kodzie 15 02 02*- </w:t>
      </w:r>
      <w:r>
        <w:rPr>
          <w:rFonts w:ascii="Arial" w:hAnsi="Arial" w:cs="Arial"/>
          <w:sz w:val="18"/>
          <w:szCs w:val="18"/>
        </w:rPr>
        <w:lastRenderedPageBreak/>
        <w:t xml:space="preserve">sorbenty, materiały filtracyjne, tkaniny do wycierania i ubrania ochronne zanieczyszczone substancjami niebezpiecznymi. Odpad powstanie z usuwania drobnych wycieków z środków transportu. Odpad ten </w:t>
      </w:r>
      <w:r>
        <w:rPr>
          <w:rFonts w:ascii="Arial" w:hAnsi="Arial" w:cs="Arial"/>
          <w:sz w:val="18"/>
          <w:szCs w:val="18"/>
        </w:rPr>
        <w:br/>
        <w:t>w szacunkowej ilości nie prz</w:t>
      </w:r>
      <w:r w:rsidR="0011058D">
        <w:rPr>
          <w:rFonts w:ascii="Arial" w:hAnsi="Arial" w:cs="Arial"/>
          <w:sz w:val="18"/>
          <w:szCs w:val="18"/>
        </w:rPr>
        <w:t xml:space="preserve">ekroczy 0,100 Mg/rok, będzie </w:t>
      </w:r>
      <w:r>
        <w:rPr>
          <w:rFonts w:ascii="Arial" w:hAnsi="Arial" w:cs="Arial"/>
          <w:sz w:val="18"/>
          <w:szCs w:val="18"/>
        </w:rPr>
        <w:t>gromadzony w szczelnym pojemniku, a następnie przekazywany uprawnionej firmie do unieszkodliwienia.</w:t>
      </w:r>
    </w:p>
    <w:p w:rsidR="00F54774" w:rsidRDefault="00F54774" w:rsidP="0011058D">
      <w:p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8170FF">
        <w:rPr>
          <w:rFonts w:ascii="Arial" w:hAnsi="Arial" w:cs="Arial"/>
          <w:sz w:val="18"/>
          <w:szCs w:val="18"/>
        </w:rPr>
        <w:t>Punkt zbierania i wstępnego przetwarzania będzie specjalizował się w świadczeniu usług polegających na kupowaniu zużytych baterii, ich magazynowaniu i ewentualnemu przetwarzaniu. Zwykle po zebraniu odpowiedniej partii transportowej odpady będą odbierane przez specjalistyczne firmy i przekazywane do zakładu recyklingu końcowego.</w:t>
      </w:r>
      <w:r w:rsidR="0011058D">
        <w:rPr>
          <w:rFonts w:ascii="Arial" w:hAnsi="Arial" w:cs="Arial"/>
          <w:sz w:val="18"/>
          <w:szCs w:val="18"/>
        </w:rPr>
        <w:t xml:space="preserve"> </w:t>
      </w:r>
      <w:r w:rsidRPr="008170FF">
        <w:rPr>
          <w:rFonts w:ascii="Arial" w:hAnsi="Arial" w:cs="Arial"/>
          <w:sz w:val="18"/>
          <w:szCs w:val="18"/>
        </w:rPr>
        <w:t xml:space="preserve">Magazynowanie odpadów odbywać się będzie zgodnie z wymaganiami w zakresie ochrony środowiska, oraz bezpieczeństwa, życia i zdrowia ludzi, w szczególności w sposób uwzględniający wymagania określone w ustawie o odpadach oraz o bateriach i akumulatorach. Zbierane odpady będą magazynowane </w:t>
      </w:r>
      <w:r w:rsidR="0011058D">
        <w:rPr>
          <w:rFonts w:ascii="Arial" w:hAnsi="Arial" w:cs="Arial"/>
          <w:sz w:val="18"/>
          <w:szCs w:val="18"/>
        </w:rPr>
        <w:br/>
        <w:t xml:space="preserve">w zadaszonych boksach </w:t>
      </w:r>
      <w:r w:rsidRPr="008170FF">
        <w:rPr>
          <w:rFonts w:ascii="Arial" w:hAnsi="Arial" w:cs="Arial"/>
          <w:sz w:val="18"/>
          <w:szCs w:val="18"/>
        </w:rPr>
        <w:t xml:space="preserve">o utwardzonym, szczelnym podłożu w kontenerach, pojemnikach oraz na paletach. Odpady będą magazynowane w punkcie zbierania wyłącznie przez czas niezbędny do zebrania minimum logistycznego wymaganego do przewiezienia ich do </w:t>
      </w:r>
      <w:r>
        <w:rPr>
          <w:rFonts w:ascii="Arial" w:hAnsi="Arial" w:cs="Arial"/>
          <w:sz w:val="18"/>
          <w:szCs w:val="18"/>
        </w:rPr>
        <w:t xml:space="preserve">miejsca dalszego przeznaczenia, następnie po </w:t>
      </w:r>
      <w:r w:rsidRPr="008170FF">
        <w:rPr>
          <w:rFonts w:ascii="Arial" w:hAnsi="Arial" w:cs="Arial"/>
          <w:sz w:val="18"/>
          <w:szCs w:val="18"/>
        </w:rPr>
        <w:t xml:space="preserve">przygotowaniu odpowiedniej partii transportowej </w:t>
      </w:r>
      <w:r>
        <w:rPr>
          <w:rFonts w:ascii="Arial" w:hAnsi="Arial" w:cs="Arial"/>
          <w:sz w:val="18"/>
          <w:szCs w:val="18"/>
        </w:rPr>
        <w:t>będą one</w:t>
      </w:r>
      <w:r w:rsidRPr="008170FF">
        <w:rPr>
          <w:rFonts w:ascii="Arial" w:hAnsi="Arial" w:cs="Arial"/>
          <w:sz w:val="18"/>
          <w:szCs w:val="18"/>
        </w:rPr>
        <w:t xml:space="preserve"> przetransportowane do zakładu posiadającego uprawnienia do zagospodarowania baterii.</w:t>
      </w:r>
      <w:r w:rsidR="0011058D">
        <w:rPr>
          <w:rFonts w:ascii="Arial" w:hAnsi="Arial" w:cs="Arial"/>
          <w:sz w:val="18"/>
          <w:szCs w:val="18"/>
        </w:rPr>
        <w:t xml:space="preserve"> </w:t>
      </w:r>
      <w:r w:rsidRPr="003932BF">
        <w:rPr>
          <w:rFonts w:ascii="Arial" w:hAnsi="Arial" w:cs="Arial"/>
          <w:iCs/>
          <w:sz w:val="18"/>
          <w:szCs w:val="18"/>
        </w:rPr>
        <w:t xml:space="preserve">Na terenie planowanego przedsięwzięcia oprócz zbierania i magazynowania baterii przewiduje się możliwość prowadzenia procesów przetwarzania. Jak wskazano w uzupełnieniu przedłożonym do karty informacyjnej przedsięwzięcia na terenie punktu prowadzony będzie jedynie proces R12, do dalszych </w:t>
      </w:r>
      <w:r w:rsidR="0011058D">
        <w:rPr>
          <w:rFonts w:ascii="Arial" w:hAnsi="Arial" w:cs="Arial"/>
          <w:iCs/>
          <w:sz w:val="18"/>
          <w:szCs w:val="18"/>
        </w:rPr>
        <w:t xml:space="preserve">procesów odzysku </w:t>
      </w:r>
      <w:r w:rsidRPr="003932BF">
        <w:rPr>
          <w:rFonts w:ascii="Arial" w:hAnsi="Arial" w:cs="Arial"/>
          <w:iCs/>
          <w:sz w:val="18"/>
          <w:szCs w:val="18"/>
        </w:rPr>
        <w:t>i recyklingu odpady będą przekazywane do specjalistycznych zakładów.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18"/>
          <w:szCs w:val="18"/>
        </w:rPr>
        <w:t>Możliwe procesy przetwarzania polegać będą na demontażu wybranych elementów baterii oraz na rozładowywaniu zanurzeniowym poprzez zastosowanie cieczy elektrolitycznych do rozładowania strumienia zużytych baterii różnego typu i rodzaju. W zależności od typu baterii i jej konstrukcji częściowy demontaż może polegać na usunięciu osłon z tworzywa sztucznego, demontażu wiązek pomiarowych, demontażu łączników miedzianych pomiędzy modułami, demontażu połączeń śrubowych oraz stalowych elementów konstrukcyjnych. Zakres i sposób demontaż</w:t>
      </w:r>
      <w:r w:rsidR="0011058D">
        <w:rPr>
          <w:rFonts w:ascii="Arial" w:hAnsi="Arial" w:cs="Arial"/>
          <w:sz w:val="18"/>
          <w:szCs w:val="18"/>
        </w:rPr>
        <w:t xml:space="preserve">u będzie dobierany każdorazowo </w:t>
      </w:r>
      <w:r>
        <w:rPr>
          <w:rFonts w:ascii="Arial" w:hAnsi="Arial" w:cs="Arial"/>
          <w:sz w:val="18"/>
          <w:szCs w:val="18"/>
        </w:rPr>
        <w:t>w zależności od rodzaju przyjętych baterii. Elementy baterii składające się głównie z modułów lub ogniw Li - ion po demontażu będą przeznaczone do dalszego recyklingu w zakładzie. Natomiast proces rozładowania zanurzeniowego będzie odbywał się w szczelnej wannie  z elektrolitem, do którego będą opuszczane pakiety baterii na czas trwania procesu. Metoda zanurzeniowa będzi</w:t>
      </w:r>
      <w:r w:rsidR="0011058D">
        <w:rPr>
          <w:rFonts w:ascii="Arial" w:hAnsi="Arial" w:cs="Arial"/>
          <w:sz w:val="18"/>
          <w:szCs w:val="18"/>
        </w:rPr>
        <w:t xml:space="preserve">e wykorzystywać roztwory soli </w:t>
      </w:r>
      <w:r>
        <w:rPr>
          <w:rFonts w:ascii="Arial" w:hAnsi="Arial" w:cs="Arial"/>
          <w:sz w:val="18"/>
          <w:szCs w:val="18"/>
        </w:rPr>
        <w:t>nieorganicznych, które zapewniają dobre przewodnictwo elektryczne i tym samym dużą wydajność rozładowania. Rozładowane ogniwa będą przeznaczone do dalszego recyklingu w zakładzie recyklingu końcowego.</w:t>
      </w:r>
    </w:p>
    <w:p w:rsidR="00633250" w:rsidRPr="00633250" w:rsidRDefault="00633250" w:rsidP="00A74966">
      <w:pPr>
        <w:spacing w:after="120" w:line="280" w:lineRule="exact"/>
        <w:ind w:left="0" w:firstLine="0"/>
        <w:rPr>
          <w:rFonts w:ascii="Arial" w:hAnsi="Arial" w:cs="Arial"/>
          <w:sz w:val="18"/>
          <w:szCs w:val="18"/>
          <w:lang w:eastAsia="en-US"/>
        </w:rPr>
      </w:pPr>
      <w:r w:rsidRPr="00633250">
        <w:rPr>
          <w:rFonts w:ascii="Arial" w:hAnsi="Arial" w:cs="Arial"/>
          <w:sz w:val="18"/>
          <w:szCs w:val="18"/>
          <w:lang w:eastAsia="en-US"/>
        </w:rPr>
        <w:t>Tab. 1 Rodzaje odpadów przewidziane do zbierania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34"/>
        <w:gridCol w:w="7287"/>
      </w:tblGrid>
      <w:tr w:rsidR="0037147A" w:rsidRPr="00633250" w:rsidTr="0011058D">
        <w:trPr>
          <w:trHeight w:val="546"/>
        </w:trPr>
        <w:tc>
          <w:tcPr>
            <w:tcW w:w="704" w:type="dxa"/>
          </w:tcPr>
          <w:p w:rsidR="0037147A" w:rsidRPr="00633250" w:rsidRDefault="0037147A" w:rsidP="0063325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34" w:type="dxa"/>
          </w:tcPr>
          <w:p w:rsidR="0037147A" w:rsidRPr="00633250" w:rsidRDefault="0037147A" w:rsidP="006332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Kod opadu</w:t>
            </w:r>
          </w:p>
        </w:tc>
        <w:tc>
          <w:tcPr>
            <w:tcW w:w="7287" w:type="dxa"/>
          </w:tcPr>
          <w:p w:rsidR="0037147A" w:rsidRPr="00633250" w:rsidRDefault="0037147A" w:rsidP="006332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</w:tr>
      <w:tr w:rsidR="0037147A" w:rsidRPr="00633250" w:rsidTr="0011058D">
        <w:trPr>
          <w:trHeight w:val="326"/>
        </w:trPr>
        <w:tc>
          <w:tcPr>
            <w:tcW w:w="704" w:type="dxa"/>
          </w:tcPr>
          <w:p w:rsidR="0037147A" w:rsidRPr="00633250" w:rsidRDefault="0037147A" w:rsidP="00633250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16 06 04</w:t>
            </w:r>
          </w:p>
        </w:tc>
        <w:tc>
          <w:tcPr>
            <w:tcW w:w="7287" w:type="dxa"/>
          </w:tcPr>
          <w:p w:rsidR="0037147A" w:rsidRPr="00633250" w:rsidRDefault="0037147A" w:rsidP="00633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alkaliczne (z wyłączeniem 16 06 03)</w:t>
            </w:r>
          </w:p>
        </w:tc>
      </w:tr>
      <w:tr w:rsidR="0037147A" w:rsidRPr="00633250" w:rsidTr="0011058D">
        <w:trPr>
          <w:trHeight w:val="274"/>
        </w:trPr>
        <w:tc>
          <w:tcPr>
            <w:tcW w:w="704" w:type="dxa"/>
          </w:tcPr>
          <w:p w:rsidR="0037147A" w:rsidRPr="00633250" w:rsidRDefault="0037147A" w:rsidP="00633250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16 06 05</w:t>
            </w:r>
          </w:p>
        </w:tc>
        <w:tc>
          <w:tcPr>
            <w:tcW w:w="7287" w:type="dxa"/>
          </w:tcPr>
          <w:p w:rsidR="0037147A" w:rsidRPr="00633250" w:rsidRDefault="0037147A" w:rsidP="00633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Inne baterie akumulatorowe</w:t>
            </w:r>
          </w:p>
        </w:tc>
      </w:tr>
      <w:tr w:rsidR="0037147A" w:rsidRPr="00633250" w:rsidTr="0011058D">
        <w:trPr>
          <w:trHeight w:val="220"/>
        </w:trPr>
        <w:tc>
          <w:tcPr>
            <w:tcW w:w="704" w:type="dxa"/>
          </w:tcPr>
          <w:p w:rsidR="0037147A" w:rsidRPr="00633250" w:rsidRDefault="0037147A" w:rsidP="00633250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20 01 34</w:t>
            </w:r>
          </w:p>
        </w:tc>
        <w:tc>
          <w:tcPr>
            <w:tcW w:w="7287" w:type="dxa"/>
          </w:tcPr>
          <w:p w:rsidR="0037147A" w:rsidRPr="00633250" w:rsidRDefault="0037147A" w:rsidP="00633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</w:tr>
    </w:tbl>
    <w:p w:rsidR="0037147A" w:rsidRPr="004665EF" w:rsidRDefault="0037147A" w:rsidP="0037147A"/>
    <w:p w:rsidR="0037147A" w:rsidRPr="00633250" w:rsidRDefault="00633250" w:rsidP="008712CD">
      <w:pPr>
        <w:pStyle w:val="Legenda"/>
        <w:spacing w:after="120" w:line="280" w:lineRule="exact"/>
        <w:ind w:right="135"/>
        <w:rPr>
          <w:rFonts w:ascii="Arial" w:hAnsi="Arial" w:cs="Arial"/>
          <w:i w:val="0"/>
          <w:color w:val="000000" w:themeColor="text1"/>
        </w:rPr>
      </w:pPr>
      <w:r w:rsidRPr="00633250">
        <w:rPr>
          <w:rFonts w:ascii="Arial" w:hAnsi="Arial" w:cs="Arial"/>
          <w:i w:val="0"/>
          <w:color w:val="000000" w:themeColor="text1"/>
        </w:rPr>
        <w:t>Tab. 2 Odpady przetwarzane w ciągu roku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1179"/>
        <w:gridCol w:w="5103"/>
        <w:gridCol w:w="2126"/>
      </w:tblGrid>
      <w:tr w:rsidR="0037147A" w:rsidRPr="00633250" w:rsidTr="0011058D">
        <w:trPr>
          <w:trHeight w:val="316"/>
        </w:trPr>
        <w:tc>
          <w:tcPr>
            <w:tcW w:w="659" w:type="dxa"/>
          </w:tcPr>
          <w:p w:rsidR="0037147A" w:rsidRPr="00633250" w:rsidRDefault="0037147A" w:rsidP="00633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79" w:type="dxa"/>
          </w:tcPr>
          <w:p w:rsidR="0037147A" w:rsidRPr="00633250" w:rsidRDefault="0037147A" w:rsidP="00633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Kod opadu</w:t>
            </w:r>
          </w:p>
        </w:tc>
        <w:tc>
          <w:tcPr>
            <w:tcW w:w="5103" w:type="dxa"/>
          </w:tcPr>
          <w:p w:rsidR="0037147A" w:rsidRPr="00633250" w:rsidRDefault="0037147A" w:rsidP="006332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  <w:tc>
          <w:tcPr>
            <w:tcW w:w="2126" w:type="dxa"/>
          </w:tcPr>
          <w:p w:rsidR="0037147A" w:rsidRPr="00633250" w:rsidRDefault="0037147A" w:rsidP="006332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Ilość odpadów przetwarzanych w ciągu roku [Mg]</w:t>
            </w:r>
          </w:p>
        </w:tc>
      </w:tr>
      <w:tr w:rsidR="0037147A" w:rsidRPr="00633250" w:rsidTr="0011058D">
        <w:tc>
          <w:tcPr>
            <w:tcW w:w="659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179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16 06 04</w:t>
            </w:r>
          </w:p>
        </w:tc>
        <w:tc>
          <w:tcPr>
            <w:tcW w:w="5103" w:type="dxa"/>
          </w:tcPr>
          <w:p w:rsidR="0037147A" w:rsidRPr="00633250" w:rsidRDefault="0037147A" w:rsidP="00633250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2126" w:type="dxa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3000</w:t>
            </w:r>
          </w:p>
        </w:tc>
      </w:tr>
      <w:tr w:rsidR="0037147A" w:rsidRPr="00633250" w:rsidTr="0011058D">
        <w:tc>
          <w:tcPr>
            <w:tcW w:w="659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179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16 06 05</w:t>
            </w:r>
          </w:p>
        </w:tc>
        <w:tc>
          <w:tcPr>
            <w:tcW w:w="5103" w:type="dxa"/>
          </w:tcPr>
          <w:p w:rsidR="0037147A" w:rsidRPr="00633250" w:rsidRDefault="0037147A" w:rsidP="00633250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Inne baterie akumulatorowe</w:t>
            </w:r>
          </w:p>
        </w:tc>
        <w:tc>
          <w:tcPr>
            <w:tcW w:w="2126" w:type="dxa"/>
          </w:tcPr>
          <w:p w:rsidR="0037147A" w:rsidRPr="00633250" w:rsidRDefault="0037147A" w:rsidP="00871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37147A" w:rsidRPr="00633250" w:rsidTr="0011058D">
        <w:tc>
          <w:tcPr>
            <w:tcW w:w="659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179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20 01 34</w:t>
            </w:r>
          </w:p>
        </w:tc>
        <w:tc>
          <w:tcPr>
            <w:tcW w:w="5103" w:type="dxa"/>
          </w:tcPr>
          <w:p w:rsidR="0037147A" w:rsidRPr="00633250" w:rsidRDefault="0037147A" w:rsidP="00633250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2126" w:type="dxa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3000</w:t>
            </w:r>
          </w:p>
        </w:tc>
      </w:tr>
      <w:tr w:rsidR="0037147A" w:rsidRPr="00633250" w:rsidTr="00F54774">
        <w:tc>
          <w:tcPr>
            <w:tcW w:w="6941" w:type="dxa"/>
            <w:gridSpan w:val="3"/>
          </w:tcPr>
          <w:p w:rsidR="0037147A" w:rsidRPr="00633250" w:rsidRDefault="0037147A" w:rsidP="00871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250">
              <w:rPr>
                <w:rFonts w:ascii="Arial" w:hAnsi="Arial" w:cs="Arial"/>
                <w:b/>
                <w:bCs/>
                <w:sz w:val="18"/>
                <w:szCs w:val="18"/>
              </w:rPr>
              <w:t>Ilość odpadów przewidzianych do przetworzenia w ciągu roku</w:t>
            </w:r>
          </w:p>
        </w:tc>
        <w:tc>
          <w:tcPr>
            <w:tcW w:w="2126" w:type="dxa"/>
          </w:tcPr>
          <w:p w:rsidR="0037147A" w:rsidRPr="00633250" w:rsidRDefault="0037147A" w:rsidP="008712CD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3250">
              <w:rPr>
                <w:b/>
                <w:bCs/>
                <w:color w:val="auto"/>
                <w:sz w:val="18"/>
                <w:szCs w:val="18"/>
              </w:rPr>
              <w:t>3000</w:t>
            </w:r>
          </w:p>
        </w:tc>
      </w:tr>
    </w:tbl>
    <w:p w:rsidR="0037147A" w:rsidRPr="003932BF" w:rsidRDefault="0037147A" w:rsidP="0037147A">
      <w:pPr>
        <w:autoSpaceDE w:val="0"/>
        <w:autoSpaceDN w:val="0"/>
        <w:adjustRightInd w:val="0"/>
        <w:ind w:firstLine="708"/>
        <w:rPr>
          <w:rFonts w:cstheme="minorHAnsi"/>
          <w:sz w:val="18"/>
          <w:szCs w:val="18"/>
        </w:rPr>
      </w:pPr>
    </w:p>
    <w:p w:rsidR="0037147A" w:rsidRPr="003932BF" w:rsidRDefault="00633250" w:rsidP="003932BF">
      <w:pPr>
        <w:ind w:left="0" w:firstLine="0"/>
        <w:rPr>
          <w:rFonts w:cstheme="minorHAnsi"/>
          <w:sz w:val="18"/>
          <w:szCs w:val="18"/>
        </w:rPr>
      </w:pPr>
      <w:r w:rsidRPr="003932BF">
        <w:rPr>
          <w:rFonts w:ascii="Arial" w:hAnsi="Arial" w:cs="Arial"/>
          <w:color w:val="000000" w:themeColor="text1"/>
          <w:sz w:val="18"/>
          <w:szCs w:val="18"/>
        </w:rPr>
        <w:t>Tab. 3 Odpady wytwarzane, powstałe w wyniku przetwarzania w ciągu roku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267"/>
        <w:gridCol w:w="5103"/>
        <w:gridCol w:w="2126"/>
      </w:tblGrid>
      <w:tr w:rsidR="0037147A" w:rsidRPr="00633250" w:rsidTr="007A6F86">
        <w:trPr>
          <w:trHeight w:val="475"/>
        </w:trPr>
        <w:tc>
          <w:tcPr>
            <w:tcW w:w="571" w:type="dxa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67" w:type="dxa"/>
          </w:tcPr>
          <w:p w:rsidR="0037147A" w:rsidRPr="00633250" w:rsidRDefault="0037147A" w:rsidP="0063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Kod opadu</w:t>
            </w:r>
          </w:p>
        </w:tc>
        <w:tc>
          <w:tcPr>
            <w:tcW w:w="5103" w:type="dxa"/>
          </w:tcPr>
          <w:p w:rsidR="0037147A" w:rsidRPr="00633250" w:rsidRDefault="0037147A" w:rsidP="0063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  <w:tc>
          <w:tcPr>
            <w:tcW w:w="2126" w:type="dxa"/>
          </w:tcPr>
          <w:p w:rsidR="0037147A" w:rsidRPr="00633250" w:rsidRDefault="0037147A" w:rsidP="0087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Ilość odpadów wytwarzanych w wyniku przetwarzania w ciągu roku [Mg]</w:t>
            </w:r>
          </w:p>
        </w:tc>
      </w:tr>
      <w:tr w:rsidR="0037147A" w:rsidRPr="00633250" w:rsidTr="0011058D">
        <w:tc>
          <w:tcPr>
            <w:tcW w:w="571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267" w:type="dxa"/>
            <w:vAlign w:val="center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16  06 04</w:t>
            </w:r>
          </w:p>
        </w:tc>
        <w:tc>
          <w:tcPr>
            <w:tcW w:w="5103" w:type="dxa"/>
            <w:vAlign w:val="center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2950</w:t>
            </w:r>
          </w:p>
        </w:tc>
      </w:tr>
      <w:tr w:rsidR="0037147A" w:rsidRPr="00633250" w:rsidTr="0011058D">
        <w:tc>
          <w:tcPr>
            <w:tcW w:w="571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267" w:type="dxa"/>
            <w:vAlign w:val="center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5103" w:type="dxa"/>
            <w:vAlign w:val="center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Inne baterie akumulatorowe</w:t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2950</w:t>
            </w:r>
          </w:p>
        </w:tc>
      </w:tr>
      <w:tr w:rsidR="0037147A" w:rsidRPr="00633250" w:rsidTr="0011058D">
        <w:tc>
          <w:tcPr>
            <w:tcW w:w="571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267" w:type="dxa"/>
            <w:vAlign w:val="center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5103" w:type="dxa"/>
            <w:vAlign w:val="center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2950</w:t>
            </w:r>
          </w:p>
        </w:tc>
      </w:tr>
      <w:tr w:rsidR="0037147A" w:rsidRPr="00633250" w:rsidTr="0011058D">
        <w:tc>
          <w:tcPr>
            <w:tcW w:w="571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267" w:type="dxa"/>
            <w:vAlign w:val="center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16 08 03</w:t>
            </w:r>
          </w:p>
        </w:tc>
        <w:tc>
          <w:tcPr>
            <w:tcW w:w="5103" w:type="dxa"/>
            <w:vAlign w:val="center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2950</w:t>
            </w:r>
          </w:p>
        </w:tc>
      </w:tr>
      <w:tr w:rsidR="0037147A" w:rsidRPr="00633250" w:rsidTr="0011058D">
        <w:tc>
          <w:tcPr>
            <w:tcW w:w="571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267" w:type="dxa"/>
            <w:vAlign w:val="center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5103" w:type="dxa"/>
            <w:vAlign w:val="center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Elementy usunięte z ze zużytych urządzeń inne niż wymienione w 16 02 15</w:t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37147A" w:rsidRPr="00633250" w:rsidTr="0011058D">
        <w:tc>
          <w:tcPr>
            <w:tcW w:w="571" w:type="dxa"/>
          </w:tcPr>
          <w:p w:rsidR="0037147A" w:rsidRPr="00633250" w:rsidRDefault="0037147A" w:rsidP="008712CD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67" w:type="dxa"/>
            <w:vAlign w:val="center"/>
          </w:tcPr>
          <w:p w:rsidR="0037147A" w:rsidRPr="00633250" w:rsidRDefault="0037147A" w:rsidP="0063325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5103" w:type="dxa"/>
            <w:vAlign w:val="center"/>
          </w:tcPr>
          <w:p w:rsidR="0037147A" w:rsidRPr="00633250" w:rsidRDefault="0037147A" w:rsidP="008712CD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37147A" w:rsidRPr="00633250" w:rsidTr="0011058D">
        <w:tc>
          <w:tcPr>
            <w:tcW w:w="6941" w:type="dxa"/>
            <w:gridSpan w:val="3"/>
          </w:tcPr>
          <w:p w:rsidR="0037147A" w:rsidRPr="00633250" w:rsidRDefault="0037147A" w:rsidP="008712C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b/>
                <w:sz w:val="18"/>
                <w:szCs w:val="18"/>
              </w:rPr>
              <w:t>Ilość odpadów przewidzianych do wytworzenia w ciągu roku</w:t>
            </w:r>
            <w:r w:rsidRPr="00633250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:rsidR="0037147A" w:rsidRPr="00633250" w:rsidRDefault="0037147A" w:rsidP="008712CD">
            <w:pPr>
              <w:pStyle w:val="Default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33250">
              <w:rPr>
                <w:rFonts w:eastAsia="Times New Roman"/>
                <w:b/>
                <w:sz w:val="18"/>
                <w:szCs w:val="18"/>
                <w:lang w:eastAsia="pl-PL"/>
              </w:rPr>
              <w:t>3000</w:t>
            </w:r>
          </w:p>
        </w:tc>
      </w:tr>
    </w:tbl>
    <w:p w:rsidR="0037147A" w:rsidRDefault="0037147A" w:rsidP="0037147A">
      <w:pPr>
        <w:rPr>
          <w:rFonts w:cs="Arial"/>
          <w:sz w:val="18"/>
          <w:szCs w:val="18"/>
        </w:rPr>
      </w:pPr>
    </w:p>
    <w:p w:rsidR="00633250" w:rsidRDefault="00633250" w:rsidP="0037147A">
      <w:pPr>
        <w:rPr>
          <w:rFonts w:cs="Arial"/>
          <w:sz w:val="18"/>
          <w:szCs w:val="18"/>
        </w:rPr>
      </w:pPr>
    </w:p>
    <w:p w:rsidR="00B94EAA" w:rsidRPr="00A9575C" w:rsidRDefault="00A63FEB" w:rsidP="00231AF1">
      <w:pPr>
        <w:spacing w:after="149" w:line="276" w:lineRule="auto"/>
        <w:ind w:left="0" w:right="14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Il. Usytuowaniem przedsięwzięcia, z uwzględnieniem możliwego zagrożenia dla środowiska, </w:t>
      </w:r>
      <w:r w:rsidR="00734FD6" w:rsidRPr="00A9575C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 xml:space="preserve">w szczególności przy istniejącym użytkowaniu terenu, zdolności samooczyszczania się środowiska </w:t>
      </w:r>
      <w:r w:rsidR="00734FD6" w:rsidRPr="00A9575C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i odnawiania się zasobów naturalnych, walorów przyrodniczych i krajobrazowych oraz uwarunkowań miejscowych planów zagospodarowania przestrzennego.</w:t>
      </w:r>
    </w:p>
    <w:p w:rsidR="00493B56" w:rsidRPr="00457DBC" w:rsidRDefault="00231AF1" w:rsidP="00AB1F89">
      <w:pPr>
        <w:spacing w:after="137" w:line="276" w:lineRule="auto"/>
        <w:ind w:left="14" w:right="-6"/>
        <w:rPr>
          <w:rFonts w:ascii="Arial" w:hAnsi="Arial" w:cs="Arial"/>
          <w:sz w:val="18"/>
          <w:szCs w:val="18"/>
        </w:rPr>
      </w:pPr>
      <w:r w:rsidRPr="00493B56">
        <w:rPr>
          <w:rFonts w:ascii="Arial" w:hAnsi="Arial" w:cs="Arial"/>
          <w:sz w:val="18"/>
          <w:szCs w:val="18"/>
        </w:rPr>
        <w:t>Przedmiotowe przedsięwzięcie zlokalizowane zostanie w północno – zachodniej części nieruchomości na którą składa się działka o nr ew. 66/1 obręb 4058 w Szczecinie. Na terenie inwest</w:t>
      </w:r>
      <w:r w:rsidR="00AB1F89">
        <w:rPr>
          <w:rFonts w:ascii="Arial" w:hAnsi="Arial" w:cs="Arial"/>
          <w:sz w:val="18"/>
          <w:szCs w:val="18"/>
        </w:rPr>
        <w:t xml:space="preserve">ycyjnym obecnie prowadzona jest </w:t>
      </w:r>
      <w:r w:rsidRPr="00493B56">
        <w:rPr>
          <w:rFonts w:ascii="Arial" w:hAnsi="Arial" w:cs="Arial"/>
          <w:sz w:val="18"/>
          <w:szCs w:val="18"/>
        </w:rPr>
        <w:t>działalność gospodarcza w zakresie prowadzenia punktu złomu żelaza i met</w:t>
      </w:r>
      <w:r w:rsidR="00AB1F89">
        <w:rPr>
          <w:rFonts w:ascii="Arial" w:hAnsi="Arial" w:cs="Arial"/>
          <w:sz w:val="18"/>
          <w:szCs w:val="18"/>
        </w:rPr>
        <w:t xml:space="preserve">ali kolorowych. Cały teren jest </w:t>
      </w:r>
      <w:r w:rsidRPr="00493B56">
        <w:rPr>
          <w:rFonts w:ascii="Arial" w:hAnsi="Arial" w:cs="Arial"/>
          <w:sz w:val="18"/>
          <w:szCs w:val="18"/>
        </w:rPr>
        <w:t>ogrodzony i zabezpieczony przed wstępem osób postronnych</w:t>
      </w:r>
      <w:r w:rsidR="00AB1F89">
        <w:rPr>
          <w:rFonts w:ascii="Arial" w:hAnsi="Arial" w:cs="Arial"/>
          <w:sz w:val="18"/>
          <w:szCs w:val="18"/>
        </w:rPr>
        <w:t xml:space="preserve"> i </w:t>
      </w:r>
      <w:r w:rsidR="00457DBC" w:rsidRPr="00493B56">
        <w:rPr>
          <w:rFonts w:ascii="Arial" w:hAnsi="Arial" w:cs="Arial"/>
          <w:sz w:val="18"/>
          <w:szCs w:val="18"/>
        </w:rPr>
        <w:t>objęty całodobowym monitoringiem</w:t>
      </w:r>
      <w:r w:rsidRPr="00493B56">
        <w:rPr>
          <w:rFonts w:ascii="Arial" w:hAnsi="Arial" w:cs="Arial"/>
          <w:sz w:val="18"/>
          <w:szCs w:val="18"/>
        </w:rPr>
        <w:t xml:space="preserve">. </w:t>
      </w:r>
      <w:r w:rsidR="00457DBC" w:rsidRPr="00493B56">
        <w:rPr>
          <w:rFonts w:ascii="Arial" w:hAnsi="Arial" w:cs="Arial"/>
          <w:sz w:val="18"/>
          <w:szCs w:val="18"/>
        </w:rPr>
        <w:t>Teren inwestycyjny posiada dostęp  do drogi publicznej – ul. Narzędziowa.</w:t>
      </w:r>
      <w:r w:rsidR="00493B56" w:rsidRPr="00493B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93B56">
        <w:rPr>
          <w:rFonts w:ascii="Arial" w:hAnsi="Arial" w:cs="Arial"/>
          <w:color w:val="000000" w:themeColor="text1"/>
          <w:sz w:val="18"/>
          <w:szCs w:val="18"/>
        </w:rPr>
        <w:t>Bezpośrednie otoczenie zakładu stanowią</w:t>
      </w:r>
      <w:r w:rsidR="00493B56" w:rsidRPr="00493B56">
        <w:rPr>
          <w:rFonts w:ascii="Arial" w:hAnsi="Arial" w:cs="Arial"/>
          <w:color w:val="000000" w:themeColor="text1"/>
          <w:sz w:val="18"/>
          <w:szCs w:val="18"/>
        </w:rPr>
        <w:t xml:space="preserve"> głównie tereny przemysłowe</w:t>
      </w:r>
      <w:r w:rsidR="00493B56">
        <w:rPr>
          <w:rFonts w:ascii="Arial" w:hAnsi="Arial" w:cs="Arial"/>
          <w:color w:val="000000" w:themeColor="text1"/>
          <w:sz w:val="18"/>
          <w:szCs w:val="18"/>
        </w:rPr>
        <w:t>.</w:t>
      </w:r>
      <w:r w:rsidR="00493B56">
        <w:rPr>
          <w:color w:val="000000" w:themeColor="text1"/>
          <w:sz w:val="20"/>
        </w:rPr>
        <w:t xml:space="preserve"> </w:t>
      </w:r>
      <w:r w:rsidR="00493B56">
        <w:rPr>
          <w:rFonts w:ascii="Arial" w:hAnsi="Arial" w:cs="Arial"/>
          <w:sz w:val="18"/>
          <w:szCs w:val="18"/>
        </w:rPr>
        <w:t xml:space="preserve">Teren planowanej inwestycji graniczy </w:t>
      </w:r>
      <w:r w:rsidR="00493B56" w:rsidRPr="00457DBC">
        <w:rPr>
          <w:rFonts w:ascii="Arial" w:hAnsi="Arial" w:cs="Arial"/>
          <w:sz w:val="18"/>
          <w:szCs w:val="18"/>
        </w:rPr>
        <w:t xml:space="preserve">od strony południowej z ulicą Narzędziową </w:t>
      </w:r>
      <w:r w:rsidR="00493B56">
        <w:rPr>
          <w:rFonts w:ascii="Arial" w:hAnsi="Arial" w:cs="Arial"/>
          <w:sz w:val="18"/>
          <w:szCs w:val="18"/>
        </w:rPr>
        <w:br/>
        <w:t xml:space="preserve">i torami kolejowymi. Od strony północnej znajdują się nieużytki, rzeka Płonia i tereny o charakterze mieszkaniowym. W kierunku zachodnim znajduje się firma zajmująca się gospodarką odpadami i tereny o charakterze przemysłowym. Ponadto w kierunku wschodnim teren przedsięwzięcia graniczy z nieużytkami  i terenami </w:t>
      </w:r>
      <w:r w:rsidR="00493B56">
        <w:rPr>
          <w:rFonts w:ascii="Arial" w:hAnsi="Arial" w:cs="Arial"/>
          <w:sz w:val="18"/>
          <w:szCs w:val="18"/>
        </w:rPr>
        <w:br/>
        <w:t xml:space="preserve">o charakterze przemysłowo – usługowym. </w:t>
      </w:r>
    </w:p>
    <w:p w:rsidR="00493B56" w:rsidRDefault="00520170" w:rsidP="00493B56">
      <w:pPr>
        <w:spacing w:after="120" w:line="276" w:lineRule="auto"/>
        <w:ind w:left="0" w:right="11"/>
        <w:rPr>
          <w:rFonts w:ascii="Arial" w:hAnsi="Arial" w:cs="Arial"/>
          <w:color w:val="000000" w:themeColor="text1"/>
          <w:sz w:val="18"/>
          <w:szCs w:val="18"/>
        </w:rPr>
      </w:pPr>
      <w:r w:rsidRPr="00493B56">
        <w:rPr>
          <w:rFonts w:ascii="Arial" w:hAnsi="Arial" w:cs="Arial"/>
          <w:sz w:val="18"/>
          <w:szCs w:val="18"/>
        </w:rPr>
        <w:t xml:space="preserve">Teren, który ma zostać dostosowany na potrzeby planowanego przedsięwzięcia </w:t>
      </w:r>
      <w:r w:rsidR="00F46D9C" w:rsidRPr="00493B56">
        <w:rPr>
          <w:rFonts w:ascii="Arial" w:hAnsi="Arial" w:cs="Arial"/>
          <w:sz w:val="18"/>
          <w:szCs w:val="18"/>
        </w:rPr>
        <w:t>jest obecnie porośnięty głównie przez zieleń niską, spo</w:t>
      </w:r>
      <w:r w:rsidR="002817FE">
        <w:rPr>
          <w:rFonts w:ascii="Arial" w:hAnsi="Arial" w:cs="Arial"/>
          <w:sz w:val="18"/>
          <w:szCs w:val="18"/>
        </w:rPr>
        <w:t>radycznie wysoką. Wśród zieleni</w:t>
      </w:r>
      <w:r w:rsidR="00F46D9C" w:rsidRPr="00493B56">
        <w:rPr>
          <w:rFonts w:ascii="Arial" w:hAnsi="Arial" w:cs="Arial"/>
          <w:sz w:val="18"/>
          <w:szCs w:val="18"/>
        </w:rPr>
        <w:t xml:space="preserve"> niskiej dominuje roślinność ruderalna i pionierska m.in. krwawnik pospolity, perz właściwy, tasznik pospolity, rumianek pospolity, kupkówka pospolita, skrzyp polny, babka lancetowata, babka zwyczajna, rdest ptasi, mniszek lekarski</w:t>
      </w:r>
      <w:r w:rsidR="00F46D9C" w:rsidRPr="00493B56">
        <w:rPr>
          <w:rFonts w:ascii="Arial" w:hAnsi="Arial" w:cs="Arial"/>
          <w:color w:val="FF0000"/>
          <w:sz w:val="18"/>
          <w:szCs w:val="18"/>
        </w:rPr>
        <w:t xml:space="preserve">.  </w:t>
      </w:r>
      <w:r w:rsidR="00F46D9C" w:rsidRPr="00493B56">
        <w:rPr>
          <w:rFonts w:ascii="Arial" w:hAnsi="Arial" w:cs="Arial"/>
          <w:color w:val="000000" w:themeColor="text1"/>
          <w:sz w:val="18"/>
          <w:szCs w:val="18"/>
        </w:rPr>
        <w:t>Na terenie inwestycyjnym zinwentaryzowano około 10 sztuk drzew</w:t>
      </w:r>
      <w:r w:rsidR="00EE57DE" w:rsidRPr="00493B56">
        <w:rPr>
          <w:rFonts w:ascii="Arial" w:hAnsi="Arial" w:cs="Arial"/>
          <w:color w:val="000000" w:themeColor="text1"/>
          <w:sz w:val="18"/>
          <w:szCs w:val="18"/>
        </w:rPr>
        <w:t>, w tym m.in. kasztanowiec pospolity oraz dąb szypułkowy. Jak wynika z karty informacyjnej przedsięwzięcia drzewa występujące na terenie inwestycyjnym nie będą kolidowały z planowaną do realizacji  drogą wewnętrzną i boksami.</w:t>
      </w:r>
      <w:r w:rsidR="00493B56">
        <w:rPr>
          <w:rFonts w:ascii="Arial" w:hAnsi="Arial" w:cs="Arial"/>
          <w:color w:val="000000" w:themeColor="text1"/>
          <w:sz w:val="18"/>
          <w:szCs w:val="18"/>
        </w:rPr>
        <w:t xml:space="preserve"> Roślinność występująca na przedmiotowym terenie nie przedstawia większej wartości botanicznej, zarówno pod względem gatunkowym jak i ekosystemowym.</w:t>
      </w:r>
      <w:r w:rsidR="00493B56" w:rsidRPr="00493B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493B56" w:rsidRDefault="00493B56" w:rsidP="00F54774">
      <w:pPr>
        <w:spacing w:after="120" w:line="276" w:lineRule="auto"/>
        <w:ind w:right="11"/>
        <w:rPr>
          <w:rFonts w:ascii="Arial" w:hAnsi="Arial" w:cs="Arial"/>
          <w:color w:val="000000" w:themeColor="text1"/>
          <w:sz w:val="18"/>
          <w:szCs w:val="18"/>
        </w:rPr>
      </w:pPr>
      <w:r w:rsidRPr="00493B56">
        <w:rPr>
          <w:rFonts w:ascii="Arial" w:hAnsi="Arial" w:cs="Arial"/>
          <w:color w:val="000000" w:themeColor="text1"/>
          <w:sz w:val="18"/>
          <w:szCs w:val="18"/>
        </w:rPr>
        <w:t xml:space="preserve">Przedmiotowe przedsięwzięcie zostanie zrealizowane i będzie eksploatowane na terenie, który nie ma znaczenia dla ochrony różnorodności biologicznej na terenie miasta Szczecin. Wskazany teren nie graniczy z terenami mającymi kluczowe znaczenie dla bioróżnorodności i jest oddalony od terenów mających znaczenie dla ochrony bioróżnorodności takich jak lasy, w tym duże kompleksy leśne ze strefami ekotonowymi, zbiorniki wodne, tereny podmokłe, łąki i pastwiska, rozległe tereny zadrzewione.  </w:t>
      </w:r>
    </w:p>
    <w:p w:rsidR="00B94EAA" w:rsidRPr="00493B56" w:rsidRDefault="00A63FEB" w:rsidP="00493B56">
      <w:pPr>
        <w:spacing w:after="0" w:line="280" w:lineRule="exact"/>
        <w:ind w:right="11"/>
        <w:rPr>
          <w:rFonts w:ascii="Arial" w:hAnsi="Arial" w:cs="Arial"/>
          <w:color w:val="000000" w:themeColor="text1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Planowane przedsięwzięcie położone jest poza:</w:t>
      </w:r>
    </w:p>
    <w:p w:rsidR="00734FD6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obszarami wodno-błotnymi, ujściami rzek,</w:t>
      </w:r>
    </w:p>
    <w:p w:rsidR="00734FD6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siedliskami,</w:t>
      </w:r>
    </w:p>
    <w:p w:rsidR="00734FD6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wybrzeżami,</w:t>
      </w:r>
    </w:p>
    <w:p w:rsidR="00734FD6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środowiskiem morskim,</w:t>
      </w:r>
    </w:p>
    <w:p w:rsidR="00734FD6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terenami górskimi,</w:t>
      </w:r>
    </w:p>
    <w:p w:rsidR="009E4405" w:rsidRPr="00A9575C" w:rsidRDefault="00734FD6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terenami leśnymi</w:t>
      </w:r>
      <w:r w:rsidR="009E4405" w:rsidRPr="00A9575C">
        <w:rPr>
          <w:rFonts w:ascii="Arial" w:hAnsi="Arial" w:cs="Arial"/>
          <w:sz w:val="18"/>
          <w:szCs w:val="18"/>
        </w:rPr>
        <w:t>,</w:t>
      </w:r>
    </w:p>
    <w:p w:rsidR="009E4405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obszarami objętymi ochroną,</w:t>
      </w:r>
    </w:p>
    <w:p w:rsidR="009E4405" w:rsidRPr="00A9575C" w:rsidRDefault="00A63FEB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obszarami o znaczeniu</w:t>
      </w:r>
      <w:r w:rsidR="009E4405" w:rsidRPr="00A9575C">
        <w:rPr>
          <w:rFonts w:ascii="Arial" w:hAnsi="Arial" w:cs="Arial"/>
          <w:sz w:val="18"/>
          <w:szCs w:val="18"/>
        </w:rPr>
        <w:t xml:space="preserve"> historyczno-krajobrazowymi,</w:t>
      </w:r>
    </w:p>
    <w:p w:rsidR="009E4405" w:rsidRPr="00A9575C" w:rsidRDefault="009E4405" w:rsidP="00493B56">
      <w:pPr>
        <w:pStyle w:val="Akapitzlist"/>
        <w:numPr>
          <w:ilvl w:val="0"/>
          <w:numId w:val="15"/>
        </w:numPr>
        <w:spacing w:after="0" w:line="276" w:lineRule="auto"/>
        <w:ind w:left="284" w:right="14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t</w:t>
      </w:r>
      <w:r w:rsidR="00A63FEB" w:rsidRPr="00A9575C">
        <w:rPr>
          <w:rFonts w:ascii="Arial" w:hAnsi="Arial" w:cs="Arial"/>
          <w:sz w:val="18"/>
          <w:szCs w:val="18"/>
        </w:rPr>
        <w:t>erenami przylegającymi do jezior,</w:t>
      </w:r>
    </w:p>
    <w:p w:rsidR="00B94EAA" w:rsidRDefault="00A63FEB" w:rsidP="00FA3847">
      <w:pPr>
        <w:pStyle w:val="Akapitzlist"/>
        <w:numPr>
          <w:ilvl w:val="0"/>
          <w:numId w:val="15"/>
        </w:numPr>
        <w:spacing w:after="120" w:line="280" w:lineRule="exact"/>
        <w:ind w:left="284" w:right="11" w:hanging="28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obszarami uzdrowisk i terenami o charakterze uzdrowiskowym.</w:t>
      </w:r>
    </w:p>
    <w:p w:rsidR="00FA3847" w:rsidRPr="00AB1F89" w:rsidRDefault="00AB1F89" w:rsidP="00AB1F89">
      <w:pPr>
        <w:spacing w:after="120" w:line="276" w:lineRule="auto"/>
        <w:ind w:left="0" w:right="-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obowiązującym Planem gospodarowania wodami na obszarze dorzecza Odry, który został przyjęty rozporządzeniem Ministra Infrastruktury z dnia 16 listopada 2022 r. (Dz. U. z 2023 r., poz. 335) przedmiotowe przedsięwzięcie </w:t>
      </w:r>
      <w:r w:rsidR="001814B3">
        <w:rPr>
          <w:rFonts w:ascii="Arial" w:hAnsi="Arial" w:cs="Arial"/>
          <w:sz w:val="18"/>
          <w:szCs w:val="18"/>
        </w:rPr>
        <w:t>zrealizowane z</w:t>
      </w:r>
      <w:r w:rsidR="007A6F86">
        <w:rPr>
          <w:rFonts w:ascii="Arial" w:hAnsi="Arial" w:cs="Arial"/>
          <w:sz w:val="18"/>
          <w:szCs w:val="18"/>
        </w:rPr>
        <w:t xml:space="preserve">ostanie na obszarze Jednolitej </w:t>
      </w:r>
      <w:r w:rsidR="001814B3">
        <w:rPr>
          <w:rFonts w:ascii="Arial" w:hAnsi="Arial" w:cs="Arial"/>
          <w:sz w:val="18"/>
          <w:szCs w:val="18"/>
        </w:rPr>
        <w:t>Części Wód Podziem</w:t>
      </w:r>
      <w:r w:rsidR="007A6F86">
        <w:rPr>
          <w:rFonts w:ascii="Arial" w:hAnsi="Arial" w:cs="Arial"/>
          <w:sz w:val="18"/>
          <w:szCs w:val="18"/>
        </w:rPr>
        <w:t xml:space="preserve">nych (JCWPd) o kodzie GW600024 </w:t>
      </w:r>
      <w:r w:rsidR="001814B3">
        <w:rPr>
          <w:rFonts w:ascii="Arial" w:hAnsi="Arial" w:cs="Arial"/>
          <w:sz w:val="18"/>
          <w:szCs w:val="18"/>
        </w:rPr>
        <w:t>oraz na terenie zlewni Jednolitej Części Wód Powierzchniowych (JCWP)</w:t>
      </w:r>
      <w:r w:rsidR="007A6F86">
        <w:rPr>
          <w:rFonts w:ascii="Arial" w:hAnsi="Arial" w:cs="Arial"/>
          <w:sz w:val="18"/>
          <w:szCs w:val="18"/>
        </w:rPr>
        <w:t xml:space="preserve"> o kodzie </w:t>
      </w:r>
      <w:r w:rsidR="006E653F">
        <w:rPr>
          <w:rFonts w:ascii="Arial" w:hAnsi="Arial" w:cs="Arial"/>
          <w:sz w:val="18"/>
          <w:szCs w:val="18"/>
        </w:rPr>
        <w:t>RW60001119743299 Płonia od jez. Płonno do ujścia.</w:t>
      </w:r>
    </w:p>
    <w:p w:rsidR="00FA3847" w:rsidRPr="00FA3847" w:rsidRDefault="00FA3847" w:rsidP="00AB1F89">
      <w:pPr>
        <w:spacing w:line="276" w:lineRule="auto"/>
        <w:ind w:left="0" w:right="-6" w:firstLine="0"/>
        <w:rPr>
          <w:rFonts w:ascii="Arial" w:hAnsi="Arial" w:cs="Arial"/>
          <w:sz w:val="18"/>
          <w:szCs w:val="18"/>
        </w:rPr>
      </w:pP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6575199A" wp14:editId="58641704">
            <wp:simplePos x="0" y="0"/>
            <wp:positionH relativeFrom="page">
              <wp:posOffset>7013448</wp:posOffset>
            </wp:positionH>
            <wp:positionV relativeFrom="page">
              <wp:posOffset>871977</wp:posOffset>
            </wp:positionV>
            <wp:extent cx="3048" cy="6098"/>
            <wp:effectExtent l="0" t="0" r="0" b="0"/>
            <wp:wrapTopAndBottom/>
            <wp:docPr id="10799" name="Picture 10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9" name="Picture 10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12D3C7C7" wp14:editId="61A3D02B">
            <wp:simplePos x="0" y="0"/>
            <wp:positionH relativeFrom="page">
              <wp:posOffset>396240</wp:posOffset>
            </wp:positionH>
            <wp:positionV relativeFrom="page">
              <wp:posOffset>3670839</wp:posOffset>
            </wp:positionV>
            <wp:extent cx="6096" cy="6098"/>
            <wp:effectExtent l="0" t="0" r="0" b="0"/>
            <wp:wrapSquare wrapText="bothSides"/>
            <wp:docPr id="10812" name="Picture 10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2" name="Picture 108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6475E845" wp14:editId="1A5C996D">
            <wp:simplePos x="0" y="0"/>
            <wp:positionH relativeFrom="page">
              <wp:posOffset>271272</wp:posOffset>
            </wp:positionH>
            <wp:positionV relativeFrom="page">
              <wp:posOffset>6588607</wp:posOffset>
            </wp:positionV>
            <wp:extent cx="9144" cy="9146"/>
            <wp:effectExtent l="0" t="0" r="0" b="0"/>
            <wp:wrapSquare wrapText="bothSides"/>
            <wp:docPr id="10813" name="Picture 10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3" name="Picture 10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0" wp14:anchorId="3708D035" wp14:editId="68285A31">
            <wp:simplePos x="0" y="0"/>
            <wp:positionH relativeFrom="page">
              <wp:posOffset>7050024</wp:posOffset>
            </wp:positionH>
            <wp:positionV relativeFrom="page">
              <wp:posOffset>1939081</wp:posOffset>
            </wp:positionV>
            <wp:extent cx="3049" cy="6097"/>
            <wp:effectExtent l="0" t="0" r="0" b="0"/>
            <wp:wrapSquare wrapText="bothSides"/>
            <wp:docPr id="10800" name="Picture 10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0" name="Picture 10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0" wp14:anchorId="6F18FAF1" wp14:editId="2C5FD408">
            <wp:simplePos x="0" y="0"/>
            <wp:positionH relativeFrom="page">
              <wp:posOffset>7056120</wp:posOffset>
            </wp:positionH>
            <wp:positionV relativeFrom="page">
              <wp:posOffset>1942130</wp:posOffset>
            </wp:positionV>
            <wp:extent cx="3049" cy="3049"/>
            <wp:effectExtent l="0" t="0" r="0" b="0"/>
            <wp:wrapSquare wrapText="bothSides"/>
            <wp:docPr id="10801" name="Picture 10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1" name="Picture 108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0" wp14:anchorId="735600B5" wp14:editId="45661CBC">
            <wp:simplePos x="0" y="0"/>
            <wp:positionH relativeFrom="page">
              <wp:posOffset>7056120</wp:posOffset>
            </wp:positionH>
            <wp:positionV relativeFrom="page">
              <wp:posOffset>1948227</wp:posOffset>
            </wp:positionV>
            <wp:extent cx="3049" cy="39636"/>
            <wp:effectExtent l="0" t="0" r="0" b="0"/>
            <wp:wrapSquare wrapText="bothSides"/>
            <wp:docPr id="10802" name="Picture 10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2" name="Picture 108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0" wp14:anchorId="7969313C" wp14:editId="5392BBF0">
            <wp:simplePos x="0" y="0"/>
            <wp:positionH relativeFrom="page">
              <wp:posOffset>7050024</wp:posOffset>
            </wp:positionH>
            <wp:positionV relativeFrom="page">
              <wp:posOffset>1954325</wp:posOffset>
            </wp:positionV>
            <wp:extent cx="3049" cy="33538"/>
            <wp:effectExtent l="0" t="0" r="0" b="0"/>
            <wp:wrapSquare wrapText="bothSides"/>
            <wp:docPr id="10803" name="Picture 10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3" name="Picture 108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0" wp14:anchorId="3F40CAD1" wp14:editId="33B18B98">
            <wp:simplePos x="0" y="0"/>
            <wp:positionH relativeFrom="page">
              <wp:posOffset>7056120</wp:posOffset>
            </wp:positionH>
            <wp:positionV relativeFrom="page">
              <wp:posOffset>2158600</wp:posOffset>
            </wp:positionV>
            <wp:extent cx="9144" cy="115857"/>
            <wp:effectExtent l="0" t="0" r="0" b="0"/>
            <wp:wrapSquare wrapText="bothSides"/>
            <wp:docPr id="24959" name="Picture 24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59" name="Picture 249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0" wp14:anchorId="3D450DA0" wp14:editId="1D2890F0">
            <wp:simplePos x="0" y="0"/>
            <wp:positionH relativeFrom="page">
              <wp:posOffset>7068313</wp:posOffset>
            </wp:positionH>
            <wp:positionV relativeFrom="page">
              <wp:posOffset>2500073</wp:posOffset>
            </wp:positionV>
            <wp:extent cx="9143" cy="60977"/>
            <wp:effectExtent l="0" t="0" r="0" b="0"/>
            <wp:wrapSquare wrapText="bothSides"/>
            <wp:docPr id="24961" name="Picture 24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1" name="Picture 249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47">
        <w:rPr>
          <w:rFonts w:ascii="Arial" w:hAnsi="Arial" w:cs="Arial"/>
          <w:sz w:val="18"/>
          <w:szCs w:val="18"/>
        </w:rPr>
        <w:t>JCWP Płonia od jez. Płonno do ujścia (RW60001119743299) to naturalna część wód charakteryzująca się słabym stanem ekologicznym, stanem chemicznym poniżej dobrego i złym stanem ogólnym. Zlewnia jest monitorowana. Przedmiotowa JCWP została określona jako zagrożona ryzykiem nieosiągnięcia celów środowiskowych. Celami środowiskowymi dla ww. JCWP są: osiągnięcie dobrego stanu ekologicznego; zapewnienie drożności cieku według wymagań gatunków chronionych; zapewnienie drożności cieku dla migracji gatunków o znaczeniu gospodarczym na odcinku cieku głównego Płonia w obrębie JCWP (dla węgorza europejskiego) i osiągni</w:t>
      </w:r>
      <w:r>
        <w:rPr>
          <w:rFonts w:ascii="Arial" w:hAnsi="Arial" w:cs="Arial"/>
          <w:sz w:val="18"/>
          <w:szCs w:val="18"/>
        </w:rPr>
        <w:t xml:space="preserve">ęcie dobrego stanu chemicznego, </w:t>
      </w:r>
      <w:r w:rsidRPr="00FA3847">
        <w:rPr>
          <w:rFonts w:ascii="Arial" w:hAnsi="Arial" w:cs="Arial"/>
          <w:sz w:val="18"/>
          <w:szCs w:val="18"/>
        </w:rPr>
        <w:t xml:space="preserve">dla złagodzonych wskaźników </w:t>
      </w:r>
      <w:r>
        <w:rPr>
          <w:rFonts w:ascii="Arial" w:hAnsi="Arial" w:cs="Arial"/>
          <w:noProof/>
          <w:sz w:val="18"/>
          <w:szCs w:val="18"/>
        </w:rPr>
        <w:t>[benzo(a)piren(w)]</w:t>
      </w:r>
      <w:r w:rsidRPr="00FA3847">
        <w:rPr>
          <w:rFonts w:ascii="Arial" w:hAnsi="Arial" w:cs="Arial"/>
          <w:sz w:val="18"/>
          <w:szCs w:val="18"/>
        </w:rPr>
        <w:t xml:space="preserve"> po</w:t>
      </w:r>
      <w:bookmarkStart w:id="0" w:name="_GoBack"/>
      <w:bookmarkEnd w:id="0"/>
      <w:r w:rsidRPr="00FA3847">
        <w:rPr>
          <w:rFonts w:ascii="Arial" w:hAnsi="Arial" w:cs="Arial"/>
          <w:sz w:val="18"/>
          <w:szCs w:val="18"/>
        </w:rPr>
        <w:t>niżej stanu dobreg</w:t>
      </w:r>
      <w:r>
        <w:rPr>
          <w:rFonts w:ascii="Arial" w:hAnsi="Arial" w:cs="Arial"/>
          <w:sz w:val="18"/>
          <w:szCs w:val="18"/>
        </w:rPr>
        <w:t>o, dla pozostałych</w:t>
      </w:r>
      <w:r w:rsidR="00AB1F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 xml:space="preserve">wskaźników - </w:t>
      </w:r>
      <w:r w:rsidRPr="00FA3847">
        <w:rPr>
          <w:rFonts w:ascii="Arial" w:hAnsi="Arial" w:cs="Arial"/>
          <w:sz w:val="18"/>
          <w:szCs w:val="18"/>
        </w:rPr>
        <w:t>stan dobry. Dla ww. JCWP zostało ustanowione odstępstwo z art. 4 ust. 4 Ramowej Dyrektywy Wodnej. Termin osiągnięcia celów środo</w:t>
      </w:r>
      <w:r>
        <w:rPr>
          <w:rFonts w:ascii="Arial" w:hAnsi="Arial" w:cs="Arial"/>
          <w:sz w:val="18"/>
          <w:szCs w:val="18"/>
        </w:rPr>
        <w:t xml:space="preserve">wiskowych przedłużono do 2027 r., </w:t>
      </w:r>
      <w:r w:rsidRPr="00FA3847">
        <w:rPr>
          <w:rFonts w:ascii="Arial" w:hAnsi="Arial" w:cs="Arial"/>
          <w:sz w:val="18"/>
          <w:szCs w:val="18"/>
        </w:rPr>
        <w:t xml:space="preserve"> substancje priorytetowe wp</w:t>
      </w:r>
      <w:r>
        <w:rPr>
          <w:rFonts w:ascii="Arial" w:hAnsi="Arial" w:cs="Arial"/>
          <w:sz w:val="18"/>
          <w:szCs w:val="18"/>
        </w:rPr>
        <w:t>r</w:t>
      </w:r>
      <w:r w:rsidR="006E653F">
        <w:rPr>
          <w:rFonts w:ascii="Arial" w:hAnsi="Arial" w:cs="Arial"/>
          <w:sz w:val="18"/>
          <w:szCs w:val="18"/>
        </w:rPr>
        <w:t xml:space="preserve">owadzone dyrektywą 2013/39/UE - </w:t>
      </w:r>
      <w:r w:rsidRPr="00FA3847">
        <w:rPr>
          <w:rFonts w:ascii="Arial" w:hAnsi="Arial" w:cs="Arial"/>
          <w:sz w:val="18"/>
          <w:szCs w:val="18"/>
        </w:rPr>
        <w:t>do 2039 r. Odstępstwo polegające na odroczeniu terminu osiągnięcia celów środowiskowych jest związane z tym, że nie są osiągnięte (lub są zagrożone) cele środowiskowe J</w:t>
      </w:r>
      <w:r>
        <w:rPr>
          <w:rFonts w:ascii="Arial" w:hAnsi="Arial" w:cs="Arial"/>
          <w:sz w:val="18"/>
          <w:szCs w:val="18"/>
        </w:rPr>
        <w:t xml:space="preserve">CWP </w:t>
      </w:r>
      <w:r>
        <w:rPr>
          <w:rFonts w:ascii="Arial" w:hAnsi="Arial" w:cs="Arial"/>
          <w:sz w:val="18"/>
          <w:szCs w:val="18"/>
        </w:rPr>
        <w:br/>
        <w:t xml:space="preserve">w zakresie wskaźników: OWO, MMI, EFI+PL/ IBI PL, </w:t>
      </w:r>
      <w:r w:rsidRPr="00FA3847">
        <w:rPr>
          <w:rFonts w:ascii="Arial" w:hAnsi="Arial" w:cs="Arial"/>
          <w:sz w:val="18"/>
          <w:szCs w:val="18"/>
        </w:rPr>
        <w:t>bromowane difenyloetery(b), rtęć(b),PFOS(w), heptachlor(b). Jest to spowodowane warunkami naturalnymi (wskazanymi w kolumnie pn. „Warunki naturalne uniemożliwiające osiągnięcie celów środowiskowych w perspektywie do końca 2027 r. (lub roku 2039 - dla substancji priorytetowych wprowadzonych dyrektywą 2013/39/UE)”), a w odniesieniu do substancji priorytetowych wprowadzonych dyrektywą 2013/39/UE brakiem możliwości technicznych (w tym: niewystarczającymi danymi na temat źródeł zanieczyszczenia) nieproporcjonalnością kosztów. Warunkiem odstępstwa jest pełne i terminowe wdrożenie programu działań (którego zakres i skuteczność określono w zestawach działań).</w:t>
      </w:r>
    </w:p>
    <w:p w:rsidR="00FA3847" w:rsidRPr="00FA3847" w:rsidRDefault="00FA3847" w:rsidP="006E653F">
      <w:pPr>
        <w:spacing w:after="120" w:line="276" w:lineRule="auto"/>
        <w:ind w:left="11" w:right="-6" w:firstLine="0"/>
        <w:rPr>
          <w:rFonts w:ascii="Arial" w:hAnsi="Arial" w:cs="Arial"/>
          <w:sz w:val="18"/>
          <w:szCs w:val="18"/>
        </w:rPr>
      </w:pPr>
      <w:r w:rsidRPr="00FA3847">
        <w:rPr>
          <w:rFonts w:ascii="Arial" w:hAnsi="Arial" w:cs="Arial"/>
          <w:sz w:val="18"/>
          <w:szCs w:val="18"/>
        </w:rPr>
        <w:t>JCWPd (600024) charakteryzuje się dobrym stanem chemicznym i ilościow</w:t>
      </w:r>
      <w:r>
        <w:rPr>
          <w:rFonts w:ascii="Arial" w:hAnsi="Arial" w:cs="Arial"/>
          <w:sz w:val="18"/>
          <w:szCs w:val="18"/>
        </w:rPr>
        <w:t xml:space="preserve">ym. Nie jest zagrożona ryzykiem </w:t>
      </w:r>
      <w:r w:rsidRPr="00FA3847">
        <w:rPr>
          <w:rFonts w:ascii="Arial" w:hAnsi="Arial" w:cs="Arial"/>
          <w:sz w:val="18"/>
          <w:szCs w:val="18"/>
        </w:rPr>
        <w:t>nieosiągnięcia założonych celów środowiskowych. Celami środowiskowy</w:t>
      </w:r>
      <w:r>
        <w:rPr>
          <w:rFonts w:ascii="Arial" w:hAnsi="Arial" w:cs="Arial"/>
          <w:sz w:val="18"/>
          <w:szCs w:val="18"/>
        </w:rPr>
        <w:t xml:space="preserve">mi dla ww. JCWPd są: utrzymanie </w:t>
      </w:r>
      <w:r w:rsidRPr="00FA3847">
        <w:rPr>
          <w:rFonts w:ascii="Arial" w:hAnsi="Arial" w:cs="Arial"/>
          <w:sz w:val="18"/>
          <w:szCs w:val="18"/>
        </w:rPr>
        <w:t>dobrego stanu chemicznego i dobrego stanu ilościowego.</w:t>
      </w:r>
    </w:p>
    <w:p w:rsidR="00FA3847" w:rsidRPr="00FA3847" w:rsidRDefault="00FA3847" w:rsidP="006E653F">
      <w:pPr>
        <w:spacing w:line="276" w:lineRule="auto"/>
        <w:ind w:left="14" w:right="-6" w:firstLine="0"/>
        <w:rPr>
          <w:rFonts w:ascii="Arial" w:hAnsi="Arial" w:cs="Arial"/>
          <w:sz w:val="18"/>
          <w:szCs w:val="18"/>
        </w:rPr>
      </w:pPr>
      <w:r w:rsidRPr="00FA3847">
        <w:rPr>
          <w:rFonts w:ascii="Arial" w:hAnsi="Arial" w:cs="Arial"/>
          <w:sz w:val="18"/>
          <w:szCs w:val="18"/>
        </w:rPr>
        <w:t>Teren projektowanej inwestycji, znajduje się poza strefami ochronnymi ujęć wód i poza obszarami ochronnymi zbiorników wód śródlądowych, jak również poza obszarami szczególnego zagrożenia powodzią. Przedsięwzięcie zlokalizowane jest poza obrębem Głównego Zbiornika Wód Podziemnych.</w:t>
      </w:r>
    </w:p>
    <w:p w:rsidR="00FA3847" w:rsidRPr="00FA3847" w:rsidRDefault="00FA3847" w:rsidP="00FA3847">
      <w:pPr>
        <w:spacing w:after="0" w:line="276" w:lineRule="auto"/>
        <w:ind w:left="0" w:right="11" w:firstLine="0"/>
        <w:rPr>
          <w:rFonts w:ascii="Arial" w:hAnsi="Arial" w:cs="Arial"/>
          <w:sz w:val="18"/>
          <w:szCs w:val="18"/>
        </w:rPr>
      </w:pPr>
    </w:p>
    <w:p w:rsidR="00B94EAA" w:rsidRPr="00A9575C" w:rsidRDefault="00A63FEB" w:rsidP="00FA3847">
      <w:pPr>
        <w:spacing w:after="104" w:line="276" w:lineRule="auto"/>
        <w:ind w:left="0" w:right="79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III. Rodzajem i skalą możliwego oddziaływania rozważanego w odniesieniu do uwarunkowań wymienionych w pkt 1 i 2:</w:t>
      </w:r>
    </w:p>
    <w:p w:rsidR="00B94EAA" w:rsidRDefault="00A63FEB" w:rsidP="006E653F">
      <w:pPr>
        <w:spacing w:after="120" w:line="276" w:lineRule="auto"/>
        <w:ind w:left="11" w:right="-6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Planowane przedsięwzięcie będzie realizowane na </w:t>
      </w:r>
      <w:r w:rsidR="009839C9">
        <w:rPr>
          <w:rFonts w:ascii="Arial" w:hAnsi="Arial" w:cs="Arial"/>
          <w:sz w:val="18"/>
          <w:szCs w:val="18"/>
        </w:rPr>
        <w:t>terenie na którym prowadzona jest obecnie działalność gospodarcza w zakresie prowadzenia punktu z</w:t>
      </w:r>
      <w:r w:rsidR="002817FE">
        <w:rPr>
          <w:rFonts w:ascii="Arial" w:hAnsi="Arial" w:cs="Arial"/>
          <w:sz w:val="18"/>
          <w:szCs w:val="18"/>
        </w:rPr>
        <w:t xml:space="preserve">łomu żelaza i metali kolorowych, zatem inwestycja </w:t>
      </w:r>
      <w:r w:rsidR="00084444">
        <w:rPr>
          <w:rFonts w:ascii="Arial" w:hAnsi="Arial" w:cs="Arial"/>
          <w:sz w:val="18"/>
          <w:szCs w:val="18"/>
        </w:rPr>
        <w:t xml:space="preserve">wpisuje się </w:t>
      </w:r>
      <w:r w:rsidR="002817FE">
        <w:rPr>
          <w:rFonts w:ascii="Arial" w:hAnsi="Arial" w:cs="Arial"/>
          <w:sz w:val="18"/>
          <w:szCs w:val="18"/>
        </w:rPr>
        <w:br/>
      </w:r>
      <w:r w:rsidR="00084444">
        <w:rPr>
          <w:rFonts w:ascii="Arial" w:hAnsi="Arial" w:cs="Arial"/>
          <w:sz w:val="18"/>
          <w:szCs w:val="18"/>
        </w:rPr>
        <w:t>w istniejące warunki. Na potrzeby funkcjonowania przedsięwzięcia wykorzystany zostanie istniejący zjazd z drogi publicznej, waga samochodowa or</w:t>
      </w:r>
      <w:r w:rsidR="00FA3847">
        <w:rPr>
          <w:rFonts w:ascii="Arial" w:hAnsi="Arial" w:cs="Arial"/>
          <w:sz w:val="18"/>
          <w:szCs w:val="18"/>
        </w:rPr>
        <w:t>az zaplecze socjalne. Realizacja</w:t>
      </w:r>
      <w:r w:rsidR="00084444">
        <w:rPr>
          <w:rFonts w:ascii="Arial" w:hAnsi="Arial" w:cs="Arial"/>
          <w:sz w:val="18"/>
          <w:szCs w:val="18"/>
        </w:rPr>
        <w:t xml:space="preserve"> inwestycji będzie wiązała się jedynie </w:t>
      </w:r>
      <w:r w:rsidR="006E653F">
        <w:rPr>
          <w:rFonts w:ascii="Arial" w:hAnsi="Arial" w:cs="Arial"/>
          <w:sz w:val="18"/>
          <w:szCs w:val="18"/>
        </w:rPr>
        <w:br/>
      </w:r>
      <w:r w:rsidR="00084444">
        <w:rPr>
          <w:rFonts w:ascii="Arial" w:hAnsi="Arial" w:cs="Arial"/>
          <w:sz w:val="18"/>
          <w:szCs w:val="18"/>
        </w:rPr>
        <w:t xml:space="preserve">z koniecznością  wykonania fragmentu utwardzenia w celu umożliwienia przejazdu wózka widłowego oraz utwardzenia powierzchni </w:t>
      </w:r>
      <w:r w:rsidR="00FA3847">
        <w:rPr>
          <w:rFonts w:ascii="Arial" w:hAnsi="Arial" w:cs="Arial"/>
          <w:sz w:val="18"/>
          <w:szCs w:val="18"/>
        </w:rPr>
        <w:t>około 0,02 ha,</w:t>
      </w:r>
      <w:r w:rsidR="00084444">
        <w:rPr>
          <w:rFonts w:ascii="Arial" w:hAnsi="Arial" w:cs="Arial"/>
          <w:sz w:val="18"/>
          <w:szCs w:val="18"/>
        </w:rPr>
        <w:t xml:space="preserve"> na którym wykonane zostaną</w:t>
      </w:r>
      <w:r w:rsidR="00613EEE">
        <w:rPr>
          <w:rFonts w:ascii="Arial" w:hAnsi="Arial" w:cs="Arial"/>
          <w:sz w:val="18"/>
          <w:szCs w:val="18"/>
        </w:rPr>
        <w:t xml:space="preserve"> boksy. Z uwagi na skale i charakter prac, etap realizacji nie będzie charakterystyczny dla standardowych prac budowlanych, będzie on </w:t>
      </w:r>
      <w:r w:rsidR="00084444">
        <w:rPr>
          <w:rFonts w:ascii="Arial" w:hAnsi="Arial" w:cs="Arial"/>
          <w:sz w:val="18"/>
          <w:szCs w:val="18"/>
        </w:rPr>
        <w:t>krótkotrwał</w:t>
      </w:r>
      <w:r w:rsidR="00613EEE">
        <w:rPr>
          <w:rFonts w:ascii="Arial" w:hAnsi="Arial" w:cs="Arial"/>
          <w:sz w:val="18"/>
          <w:szCs w:val="18"/>
        </w:rPr>
        <w:t>y, a do prac wykorzystana zostanie niewielka ilość maszyn.</w:t>
      </w:r>
    </w:p>
    <w:p w:rsidR="00454C68" w:rsidRDefault="00454C68" w:rsidP="006E653F">
      <w:pPr>
        <w:spacing w:after="120" w:line="276" w:lineRule="auto"/>
        <w:ind w:left="11" w:right="-6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W fazie realizacji inwestycji nastąpi krótkotrwały wzrost poziomu substancji zanieczyszczających wprowadzanych do powietrza atmosferycznego oraz poziomu emitowanego hałasu związanego</w:t>
      </w:r>
      <w:r>
        <w:rPr>
          <w:rFonts w:ascii="Arial" w:hAnsi="Arial" w:cs="Arial"/>
          <w:sz w:val="18"/>
          <w:szCs w:val="18"/>
        </w:rPr>
        <w:t xml:space="preserve"> głownie z pracą maszyn budowlanych. </w:t>
      </w:r>
      <w:r w:rsidRPr="00A9575C">
        <w:rPr>
          <w:rFonts w:ascii="Arial" w:hAnsi="Arial" w:cs="Arial"/>
          <w:sz w:val="18"/>
          <w:szCs w:val="18"/>
        </w:rPr>
        <w:t>Będą to oddziaływania o lokalnym zasięgu i za</w:t>
      </w:r>
      <w:r>
        <w:rPr>
          <w:rFonts w:ascii="Arial" w:hAnsi="Arial" w:cs="Arial"/>
          <w:sz w:val="18"/>
          <w:szCs w:val="18"/>
        </w:rPr>
        <w:t>kończą się wraz z ustaniem prac.</w:t>
      </w:r>
      <w:r w:rsidR="001D2065">
        <w:rPr>
          <w:rFonts w:ascii="Arial" w:hAnsi="Arial" w:cs="Arial"/>
          <w:sz w:val="18"/>
          <w:szCs w:val="18"/>
        </w:rPr>
        <w:t xml:space="preserve"> Podczas eksploatacji nie wystąpi ponadnormatywna emisja gazów i pyłów do powietrza. Na tym etapie będzie miała miejsce jedynie niezorganizowana emisja pyłów i spalin ze środków transportu poruszających się po terenie inwestycji. Oddziaływanie w tym zakresie będzie miało charakter lokalny i zamknie się w obrębie działki, na której będzie prowadzona działalność.</w:t>
      </w:r>
    </w:p>
    <w:p w:rsidR="00B94EAA" w:rsidRPr="00A9575C" w:rsidRDefault="00A63FEB" w:rsidP="001D2065">
      <w:pPr>
        <w:spacing w:after="8" w:line="276" w:lineRule="auto"/>
        <w:ind w:left="0" w:right="14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Zgodnie z informacjami zawartymi w KIP przedmiotowa inwestycja zarówno w fazie budowy oraz eksploatacji nie będzie kolidować z ustaleniami i celami środowiskowymi, zawartymi w Planie Gospodarowania Wodami na Obszarze Dorzecza Odry lub stwarzać ryzyka ich niedotrzymania.</w:t>
      </w:r>
      <w:r w:rsidR="001D2065">
        <w:rPr>
          <w:rFonts w:ascii="Arial" w:hAnsi="Arial" w:cs="Arial"/>
          <w:sz w:val="18"/>
          <w:szCs w:val="18"/>
        </w:rPr>
        <w:t xml:space="preserve"> </w:t>
      </w:r>
      <w:r w:rsidRPr="00A9575C">
        <w:rPr>
          <w:rFonts w:ascii="Arial" w:hAnsi="Arial" w:cs="Arial"/>
          <w:sz w:val="18"/>
          <w:szCs w:val="18"/>
        </w:rPr>
        <w:t xml:space="preserve">Realizacja i eksploatacja inwestycji nie będzie wpływać negatywnie na JCWP i JCWPd. Realizacja i eksploatacja inwestycji nie będzie oddziaływać na elementy biologiczne, hydromorfologiczne i fizykochemiczne jednolitych części wód powierzchniowych. Nie nastąpi pogorszenie potencjału ekologicznego i stanu chemicznego JCW powierzchniowych oraz stanu ilościowego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i chemicznego JCW podziemnych.</w:t>
      </w:r>
    </w:p>
    <w:p w:rsidR="00B94EAA" w:rsidRPr="00A9575C" w:rsidRDefault="00A63FEB" w:rsidP="00653ADD">
      <w:pPr>
        <w:spacing w:after="135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Na przedmiotowym terenie nie występują żadne dobra kultury ani stanowiska archeologiczne podlegające ochronie na które planowana inwestycja mogła by mieć wpływ. W ramach realizacji przedsięwzięcia nie przewiduje się realizacji lub instalacji, maszyn i urządzeń emitujących pola elektromagnetyczne.</w:t>
      </w:r>
    </w:p>
    <w:p w:rsidR="006E653F" w:rsidRDefault="00A63FEB" w:rsidP="006E653F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Nie przewiduje się, aby funkcjonowanie inwestycji miało wpływ na ogólną wielkość emisji gazów cieplarnianych,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a tym samym na zmiany klimatu.</w:t>
      </w:r>
    </w:p>
    <w:p w:rsidR="00B94EAA" w:rsidRPr="00A9575C" w:rsidRDefault="00A63FEB" w:rsidP="006E653F">
      <w:pPr>
        <w:spacing w:after="54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Ze względu na rodzaj inwestycji i zastosowane technologie nie przewiduje się wystąpienia katastrofy naturalnej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i budowlanej zarówno na etapie realizacji jak i funkcjonowa</w:t>
      </w:r>
      <w:r w:rsidR="001D4BF2">
        <w:rPr>
          <w:rFonts w:ascii="Arial" w:hAnsi="Arial" w:cs="Arial"/>
          <w:sz w:val="18"/>
          <w:szCs w:val="18"/>
        </w:rPr>
        <w:t xml:space="preserve">nia planowanego przedsięwzięcia. </w:t>
      </w:r>
      <w:r w:rsidRPr="00A9575C">
        <w:rPr>
          <w:rFonts w:ascii="Arial" w:hAnsi="Arial" w:cs="Arial"/>
          <w:sz w:val="18"/>
          <w:szCs w:val="18"/>
        </w:rPr>
        <w:t>Realizacja przedsięwzięcia nie wpłynie znacząco negatywnie na istniejący krajobraz. W granicach analizowanego terenu nie występują szczególne walory krajobrazowe, obszar położony jest poza granicami obszarów chronionego krajobrazu czy parków krajobrazowych. Nie wystąpią zagrożenia związane z negatywnym oddziaływaniem na obiekty i obszary prawnie chronione oraz na zdrowie i Życie ludzi.</w:t>
      </w:r>
    </w:p>
    <w:p w:rsidR="00B94EAA" w:rsidRPr="00A9575C" w:rsidRDefault="00A63FEB" w:rsidP="00653ADD">
      <w:pPr>
        <w:spacing w:after="118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lastRenderedPageBreak/>
        <w:t xml:space="preserve">W związku z realizacją i eksploatacją planowanego przedsięwzięcia nie przewiduje się oddziaływania o charakterze transgranicznym. Przewidywane oddziaływanie będzie ograniczone </w:t>
      </w:r>
      <w:r w:rsidR="009E4405" w:rsidRPr="00A9575C">
        <w:rPr>
          <w:rFonts w:ascii="Arial" w:hAnsi="Arial" w:cs="Arial"/>
          <w:sz w:val="18"/>
          <w:szCs w:val="18"/>
        </w:rPr>
        <w:t xml:space="preserve">do terenu </w:t>
      </w:r>
      <w:r w:rsidRPr="00A9575C">
        <w:rPr>
          <w:rFonts w:ascii="Arial" w:hAnsi="Arial" w:cs="Arial"/>
          <w:sz w:val="18"/>
          <w:szCs w:val="18"/>
        </w:rPr>
        <w:t>inwestycyjnego, w związku z czym wszelkie uciążliwości związane z eksploatacją przedsięwzięcia nie będą wykraczały poza obszar kraju.</w:t>
      </w:r>
    </w:p>
    <w:p w:rsidR="00B94EAA" w:rsidRPr="00A9575C" w:rsidRDefault="00A63FEB" w:rsidP="006E653F">
      <w:pPr>
        <w:spacing w:after="161" w:line="276" w:lineRule="auto"/>
        <w:ind w:left="14" w:right="-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Organ nie nakładając obowiązku przeprowadzenia oceny oddziaływania na środowisko dla przedsięwzięcia pn.: „</w:t>
      </w:r>
      <w:r w:rsidR="001D4BF2">
        <w:rPr>
          <w:rFonts w:ascii="Arial" w:hAnsi="Arial" w:cs="Arial"/>
          <w:sz w:val="18"/>
          <w:szCs w:val="18"/>
        </w:rPr>
        <w:t>Budowa punktu zbierania i wstępnego przetwarzania baterii przy ulicy Narzędziowej 15 na działce nr ew. 66/1 obręb 4058 w Szczecinie”</w:t>
      </w:r>
      <w:r w:rsidRPr="00A9575C">
        <w:rPr>
          <w:rFonts w:ascii="Arial" w:hAnsi="Arial" w:cs="Arial"/>
          <w:sz w:val="18"/>
          <w:szCs w:val="18"/>
        </w:rPr>
        <w:t xml:space="preserve"> zbadał sprawę przede wszystkim w oparciu o uwarunkowania wynikające z art. 63 ust. 1 ustawy ooś oraz uwzględnił w części stanowisko Regionalnego Dyrektora Ochrony Środowiska w Szczecinie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i Dyrektora Zarządu Zlewni w Stargardzie PGW Wody Polskie oraz stanowisko Państwowego Powiatowego Inspektora Sanitarnego w Szczecinie. Wnioskodawca zobowiązał się do stosowania rozwiązań minimalizujących emisje związane z realizacją i eksploatacją przedmiotowego przedsię</w:t>
      </w:r>
      <w:r w:rsidRPr="00CA1544">
        <w:rPr>
          <w:rFonts w:ascii="Arial" w:hAnsi="Arial" w:cs="Arial"/>
          <w:sz w:val="18"/>
          <w:szCs w:val="18"/>
        </w:rPr>
        <w:t xml:space="preserve">wzięcia. </w:t>
      </w:r>
      <w:r w:rsidR="00CA1544" w:rsidRPr="00CA1544">
        <w:rPr>
          <w:rFonts w:ascii="Arial" w:hAnsi="Arial" w:cs="Arial"/>
          <w:sz w:val="18"/>
          <w:szCs w:val="18"/>
        </w:rPr>
        <w:t>Ponadto przez tutejszy organ zostały nałożone dodatkowe warunki dla realizacji planowanego przedsięwzięcia</w:t>
      </w:r>
    </w:p>
    <w:p w:rsidR="00B94EAA" w:rsidRPr="00A9575C" w:rsidRDefault="00A63FEB" w:rsidP="00926ABA">
      <w:pPr>
        <w:spacing w:after="90" w:line="276" w:lineRule="auto"/>
        <w:ind w:left="0" w:right="1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Organ stwierdził, </w:t>
      </w:r>
      <w:r w:rsidR="009E4405" w:rsidRPr="00A9575C">
        <w:rPr>
          <w:rFonts w:ascii="Arial" w:hAnsi="Arial" w:cs="Arial"/>
          <w:sz w:val="18"/>
          <w:szCs w:val="18"/>
        </w:rPr>
        <w:t>iż</w:t>
      </w:r>
      <w:r w:rsidRPr="00A9575C">
        <w:rPr>
          <w:rFonts w:ascii="Arial" w:hAnsi="Arial" w:cs="Arial"/>
          <w:sz w:val="18"/>
          <w:szCs w:val="18"/>
        </w:rPr>
        <w:t xml:space="preserve"> przedsięwzięcie z uwagi na swój rodzaj i charakter, miejsce lokalizacji oraz deklarowane przez Inwestora do zastosowania rozwiązania techniczne, technologiczne i organizacyjne nie będzie w sposób znaczący oddziaływać na poszczególne elementy środowiska, a eksploatacja przedsięwzięcia nie spowoduje przekroczeń standardów emisyjnych i standardów jakości środowiska.</w:t>
      </w:r>
    </w:p>
    <w:p w:rsidR="00B94EAA" w:rsidRPr="00A9575C" w:rsidRDefault="00A63FEB" w:rsidP="00926ABA">
      <w:pPr>
        <w:spacing w:after="125" w:line="276" w:lineRule="auto"/>
        <w:ind w:left="0" w:right="14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Mając powyższe na uwadze organ stwierdził jak w rozstrzygnięciu.</w:t>
      </w:r>
    </w:p>
    <w:p w:rsidR="00B94EAA" w:rsidRPr="00CA1544" w:rsidRDefault="00A63FEB" w:rsidP="00653ADD">
      <w:pPr>
        <w:pStyle w:val="Nagwek2"/>
        <w:spacing w:line="276" w:lineRule="auto"/>
        <w:ind w:left="1952" w:right="1978"/>
        <w:rPr>
          <w:rFonts w:ascii="Arial" w:hAnsi="Arial" w:cs="Arial"/>
          <w:b/>
          <w:sz w:val="18"/>
          <w:szCs w:val="18"/>
        </w:rPr>
      </w:pPr>
      <w:r w:rsidRPr="00CA1544">
        <w:rPr>
          <w:rFonts w:ascii="Arial" w:hAnsi="Arial" w:cs="Arial"/>
          <w:b/>
          <w:sz w:val="18"/>
          <w:szCs w:val="18"/>
        </w:rPr>
        <w:t>Pouczenie</w:t>
      </w:r>
    </w:p>
    <w:p w:rsidR="00B94EAA" w:rsidRPr="00A9575C" w:rsidRDefault="00A63FEB" w:rsidP="009E4405">
      <w:pPr>
        <w:spacing w:after="170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Zgodnie z art. 72 ust. 3 ustawy z dnia 3 października 2008 r. o udostępnieniu informacji o środowisku </w:t>
      </w:r>
      <w:r w:rsidR="009E4405" w:rsidRPr="00A9575C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 xml:space="preserve">i jego ochronie, udziale społeczeństwa w ochronie środowiska oraz o ocenach oddziaływania na środowisko (Dz. U. z 2022 r., poz. 1029 ze zm.), decyzję o środowiskowych uwarunkowaniach dołącza się do wniosku o wydanie decyzji o których mowa w art. 72 ust. 1 ww. ustawy, oraz zgłoszenia, o których mowa w art. 72 ust. la tej samej ustawy w terminie 6 lat od dnia, w którym decyzja o środowiskowych uwarunkowaniach stała się ostateczna. Złożenie wniosku lub dokonanie zgłoszenia może nastąpić w terminie 10 lat od dnia, w którym decyzja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 xml:space="preserve">o środowiskowych uwarunkowaniach stała się ostateczna, o ile strona, która złożyła wniosek o wydanie decyzji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o środowiskowych uwarunkowaniach, lub podmiot, na który została przeniesiona ta decyzja, otrzymali przed upływem terminu, o którym mowa w ust. 3 od organu, który wydał decyzję o środowiskowych uwarunkowaniach, stanowisko, że realizacja planowanego przedsięwzięcia przebiega etapowo oraz, że aktualne są warunki realizacji przedsięwzięcia zawarte w decyzji o środowiskowych uwarunkowaniach lub postanowieniu o którym mowa w art. 90 ust. 1, jeżeli było wydane.</w:t>
      </w:r>
    </w:p>
    <w:p w:rsidR="00B94EAA" w:rsidRPr="00A9575C" w:rsidRDefault="00A63FEB" w:rsidP="00653ADD">
      <w:pPr>
        <w:spacing w:after="126" w:line="276" w:lineRule="auto"/>
        <w:ind w:left="14" w:right="14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Od niniejszej decyzji służy stronom odwołanie do Samorządowego Kolegium Odwoławczego pl. Batorego 4,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 xml:space="preserve">70-207 Szczecin, za pośrednictwem Prezydenta Miasta Szczecin, wniesione w terminie 14 dni od daty jej doręczenia.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ostateczna, co oznacza, </w:t>
      </w:r>
      <w:r w:rsidR="009E4405" w:rsidRPr="00A9575C">
        <w:rPr>
          <w:rFonts w:ascii="Arial" w:hAnsi="Arial" w:cs="Arial"/>
          <w:sz w:val="18"/>
          <w:szCs w:val="18"/>
        </w:rPr>
        <w:t>iż</w:t>
      </w:r>
      <w:r w:rsidRPr="00A9575C">
        <w:rPr>
          <w:rFonts w:ascii="Arial" w:hAnsi="Arial" w:cs="Arial"/>
          <w:sz w:val="18"/>
          <w:szCs w:val="18"/>
        </w:rPr>
        <w:t xml:space="preserve"> decyzja podlega natychmiastowemu wykonaniu i brak jest możliwości zaskarżenia decyzji do Wojewódzkiego Sądu Administracyjnego. Nie jest możliwe skuteczne cofnięcie oświadczenia </w:t>
      </w:r>
      <w:r w:rsidR="001D4BF2">
        <w:rPr>
          <w:rFonts w:ascii="Arial" w:hAnsi="Arial" w:cs="Arial"/>
          <w:sz w:val="18"/>
          <w:szCs w:val="18"/>
        </w:rPr>
        <w:br/>
      </w:r>
      <w:r w:rsidRPr="00A9575C">
        <w:rPr>
          <w:rFonts w:ascii="Arial" w:hAnsi="Arial" w:cs="Arial"/>
          <w:sz w:val="18"/>
          <w:szCs w:val="18"/>
        </w:rPr>
        <w:t>o zrzeczeniu się prawa do wniesienia odwołania.</w:t>
      </w:r>
    </w:p>
    <w:p w:rsidR="00B94EAA" w:rsidRPr="00A9575C" w:rsidRDefault="00A63FEB" w:rsidP="00653ADD">
      <w:pPr>
        <w:spacing w:after="138" w:line="276" w:lineRule="auto"/>
        <w:ind w:left="22" w:firstLine="0"/>
        <w:jc w:val="left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  <w:u w:val="single" w:color="000000"/>
        </w:rPr>
        <w:t>Załącznik:</w:t>
      </w:r>
    </w:p>
    <w:p w:rsidR="00B94EAA" w:rsidRPr="00A9575C" w:rsidRDefault="00A63FEB" w:rsidP="00653ADD">
      <w:pPr>
        <w:spacing w:after="1468" w:line="276" w:lineRule="auto"/>
        <w:ind w:left="727" w:right="216" w:hanging="331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1. Charakterystyka planowanego przedsięwzięcia zgodnie z art. 82 ust. 3 ustawy z dnia 3 października 2008 r. o udostępnieniu informacji o środowisku jego ochronie, udziale społeczeństwa w ochronie środowiska oraz o ocenach oddziaływania na środowisko (Dz. U. z 2022 r., poz. 1029 ze zm.)</w:t>
      </w:r>
    </w:p>
    <w:p w:rsidR="00653ADD" w:rsidRPr="00A9575C" w:rsidRDefault="00653ADD" w:rsidP="00653ADD">
      <w:pPr>
        <w:spacing w:after="28" w:line="276" w:lineRule="auto"/>
        <w:ind w:left="24" w:right="21" w:hanging="10"/>
        <w:rPr>
          <w:rFonts w:ascii="Arial" w:hAnsi="Arial" w:cs="Arial"/>
          <w:sz w:val="18"/>
          <w:szCs w:val="18"/>
          <w:u w:val="single" w:color="000000"/>
        </w:rPr>
      </w:pPr>
    </w:p>
    <w:p w:rsidR="00653ADD" w:rsidRPr="00A9575C" w:rsidRDefault="00653ADD" w:rsidP="00653ADD">
      <w:pPr>
        <w:spacing w:after="28" w:line="276" w:lineRule="auto"/>
        <w:ind w:left="24" w:right="21" w:hanging="10"/>
        <w:rPr>
          <w:rFonts w:ascii="Arial" w:hAnsi="Arial" w:cs="Arial"/>
          <w:sz w:val="18"/>
          <w:szCs w:val="18"/>
          <w:u w:val="single" w:color="000000"/>
        </w:rPr>
      </w:pPr>
    </w:p>
    <w:p w:rsidR="00653ADD" w:rsidRPr="00A9575C" w:rsidRDefault="00653ADD" w:rsidP="00653ADD">
      <w:pPr>
        <w:spacing w:after="28" w:line="276" w:lineRule="auto"/>
        <w:ind w:left="24" w:right="21" w:hanging="10"/>
        <w:rPr>
          <w:rFonts w:ascii="Arial" w:hAnsi="Arial" w:cs="Arial"/>
          <w:sz w:val="18"/>
          <w:szCs w:val="18"/>
          <w:u w:val="single" w:color="000000"/>
        </w:rPr>
      </w:pPr>
    </w:p>
    <w:p w:rsidR="003932BF" w:rsidRDefault="003932BF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CA1544" w:rsidRDefault="00CA1544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2817FE" w:rsidRDefault="002817FE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2817FE" w:rsidRDefault="002817FE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  <w:u w:val="single" w:color="000000"/>
        </w:rPr>
      </w:pPr>
    </w:p>
    <w:p w:rsidR="00B94EAA" w:rsidRPr="00A9575C" w:rsidRDefault="00A63FEB" w:rsidP="009E4405">
      <w:pPr>
        <w:spacing w:after="28" w:line="276" w:lineRule="auto"/>
        <w:ind w:left="0" w:right="21" w:firstLine="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  <w:u w:val="single" w:color="000000"/>
        </w:rPr>
        <w:t>Otrzymują:</w:t>
      </w:r>
    </w:p>
    <w:p w:rsidR="00B94EAA" w:rsidRPr="00A9575C" w:rsidRDefault="00A63FEB" w:rsidP="00653ADD">
      <w:pPr>
        <w:numPr>
          <w:ilvl w:val="0"/>
          <w:numId w:val="5"/>
        </w:numPr>
        <w:spacing w:line="276" w:lineRule="auto"/>
        <w:ind w:right="14" w:hanging="367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Strony postępowania,</w:t>
      </w:r>
    </w:p>
    <w:p w:rsidR="00B94EAA" w:rsidRPr="00A9575C" w:rsidRDefault="00A63FEB" w:rsidP="00653ADD">
      <w:pPr>
        <w:numPr>
          <w:ilvl w:val="0"/>
          <w:numId w:val="5"/>
        </w:numPr>
        <w:spacing w:line="276" w:lineRule="auto"/>
        <w:ind w:right="14" w:hanging="367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Prezydent Miasta Szczecin - a/a.</w:t>
      </w:r>
    </w:p>
    <w:p w:rsidR="00B94EAA" w:rsidRPr="00A9575C" w:rsidRDefault="00A63FEB" w:rsidP="00653ADD">
      <w:pPr>
        <w:spacing w:after="0" w:line="276" w:lineRule="auto"/>
        <w:ind w:left="24" w:right="21" w:hanging="10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  <w:u w:val="single" w:color="000000"/>
        </w:rPr>
        <w:t>Do wiadomości:</w:t>
      </w:r>
    </w:p>
    <w:p w:rsidR="00B94EAA" w:rsidRPr="00A9575C" w:rsidRDefault="00A63FEB" w:rsidP="00653ADD">
      <w:pPr>
        <w:numPr>
          <w:ilvl w:val="0"/>
          <w:numId w:val="6"/>
        </w:numPr>
        <w:spacing w:line="276" w:lineRule="auto"/>
        <w:ind w:left="497" w:right="14" w:hanging="39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Regionalny Dyrektor Ochrony Środowiska w Szczecinie,</w:t>
      </w:r>
    </w:p>
    <w:p w:rsidR="00B94EAA" w:rsidRPr="00A9575C" w:rsidRDefault="00A63FEB" w:rsidP="00653ADD">
      <w:pPr>
        <w:numPr>
          <w:ilvl w:val="0"/>
          <w:numId w:val="6"/>
        </w:numPr>
        <w:spacing w:line="276" w:lineRule="auto"/>
        <w:ind w:left="497" w:right="14" w:hanging="39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Państwowy Powiatowy Inspektor Sanitarny w Szczecinie,</w:t>
      </w:r>
    </w:p>
    <w:p w:rsidR="00B94EAA" w:rsidRPr="00A9575C" w:rsidRDefault="00A63FEB" w:rsidP="00653ADD">
      <w:pPr>
        <w:numPr>
          <w:ilvl w:val="0"/>
          <w:numId w:val="6"/>
        </w:numPr>
        <w:spacing w:line="276" w:lineRule="auto"/>
        <w:ind w:left="497" w:right="14" w:hanging="39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Dyrektor Zarządu Zlewni w Stargardzie - PGW Wody Polskie.</w:t>
      </w:r>
    </w:p>
    <w:p w:rsidR="00B94EAA" w:rsidRPr="00A9575C" w:rsidRDefault="00A63FEB" w:rsidP="00653ADD">
      <w:pPr>
        <w:tabs>
          <w:tab w:val="center" w:pos="7108"/>
        </w:tabs>
        <w:spacing w:after="491" w:line="276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lastRenderedPageBreak/>
        <w:t>WOŚr-Vll.62</w:t>
      </w:r>
      <w:r w:rsidR="00926ABA" w:rsidRPr="00A9575C">
        <w:rPr>
          <w:rFonts w:ascii="Arial" w:hAnsi="Arial" w:cs="Arial"/>
          <w:sz w:val="18"/>
          <w:szCs w:val="18"/>
        </w:rPr>
        <w:t>20.1.</w:t>
      </w:r>
      <w:r w:rsidR="008727E0">
        <w:rPr>
          <w:rFonts w:ascii="Arial" w:hAnsi="Arial" w:cs="Arial"/>
          <w:sz w:val="18"/>
          <w:szCs w:val="18"/>
        </w:rPr>
        <w:t>8.2023</w:t>
      </w:r>
      <w:r w:rsidR="00926ABA" w:rsidRPr="00A9575C">
        <w:rPr>
          <w:rFonts w:ascii="Arial" w:hAnsi="Arial" w:cs="Arial"/>
          <w:sz w:val="18"/>
          <w:szCs w:val="18"/>
        </w:rPr>
        <w:t>.KM</w:t>
      </w:r>
      <w:r w:rsidR="00926ABA" w:rsidRPr="00A9575C">
        <w:rPr>
          <w:rFonts w:ascii="Arial" w:hAnsi="Arial" w:cs="Arial"/>
          <w:sz w:val="18"/>
          <w:szCs w:val="18"/>
        </w:rPr>
        <w:tab/>
        <w:t xml:space="preserve">Szczecin, </w:t>
      </w:r>
      <w:r w:rsidR="008727E0">
        <w:rPr>
          <w:rFonts w:ascii="Arial" w:hAnsi="Arial" w:cs="Arial"/>
          <w:sz w:val="18"/>
          <w:szCs w:val="18"/>
        </w:rPr>
        <w:t>2023-05-</w:t>
      </w:r>
      <w:r w:rsidR="007A6F86">
        <w:rPr>
          <w:rFonts w:ascii="Arial" w:hAnsi="Arial" w:cs="Arial"/>
          <w:sz w:val="18"/>
          <w:szCs w:val="18"/>
        </w:rPr>
        <w:t>31</w:t>
      </w:r>
    </w:p>
    <w:p w:rsidR="00B94EAA" w:rsidRPr="00A9575C" w:rsidRDefault="00A63FEB" w:rsidP="00653ADD">
      <w:pPr>
        <w:pStyle w:val="Nagwek2"/>
        <w:spacing w:after="56" w:line="276" w:lineRule="auto"/>
        <w:ind w:left="101" w:right="0" w:firstLine="0"/>
        <w:rPr>
          <w:rFonts w:ascii="Arial" w:hAnsi="Arial" w:cs="Arial"/>
          <w:b/>
          <w:sz w:val="18"/>
          <w:szCs w:val="18"/>
        </w:rPr>
      </w:pPr>
      <w:r w:rsidRPr="00A9575C">
        <w:rPr>
          <w:rFonts w:ascii="Arial" w:hAnsi="Arial" w:cs="Arial"/>
          <w:b/>
          <w:sz w:val="18"/>
          <w:szCs w:val="18"/>
        </w:rPr>
        <w:t>Załącznik</w:t>
      </w:r>
    </w:p>
    <w:p w:rsidR="008727E0" w:rsidRDefault="00A63FEB" w:rsidP="00653ADD">
      <w:pPr>
        <w:pStyle w:val="Nagwek3"/>
        <w:spacing w:after="14" w:line="276" w:lineRule="auto"/>
        <w:ind w:left="1952" w:right="1920"/>
        <w:rPr>
          <w:rFonts w:ascii="Arial" w:hAnsi="Arial" w:cs="Arial"/>
          <w:b/>
          <w:sz w:val="18"/>
          <w:szCs w:val="18"/>
        </w:rPr>
      </w:pPr>
      <w:r w:rsidRPr="00A9575C">
        <w:rPr>
          <w:rFonts w:ascii="Arial" w:hAnsi="Arial" w:cs="Arial"/>
          <w:b/>
          <w:sz w:val="18"/>
          <w:szCs w:val="18"/>
        </w:rPr>
        <w:t xml:space="preserve">do decyzji o środowiskowych uwarunkowaniach z dnia </w:t>
      </w:r>
    </w:p>
    <w:p w:rsidR="00B94EAA" w:rsidRPr="00A9575C" w:rsidRDefault="00CA1544" w:rsidP="00653ADD">
      <w:pPr>
        <w:pStyle w:val="Nagwek3"/>
        <w:spacing w:after="14" w:line="276" w:lineRule="auto"/>
        <w:ind w:left="1952" w:right="19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A6F86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="006E653F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CA1544">
        <w:rPr>
          <w:rFonts w:ascii="Arial" w:hAnsi="Arial" w:cs="Arial"/>
          <w:b/>
          <w:color w:val="000000" w:themeColor="text1"/>
          <w:sz w:val="18"/>
          <w:szCs w:val="18"/>
        </w:rPr>
        <w:t>05.2023</w:t>
      </w:r>
      <w:r w:rsidR="00A63FEB" w:rsidRPr="00CA1544">
        <w:rPr>
          <w:rFonts w:ascii="Arial" w:hAnsi="Arial" w:cs="Arial"/>
          <w:b/>
          <w:color w:val="000000" w:themeColor="text1"/>
          <w:sz w:val="18"/>
          <w:szCs w:val="18"/>
        </w:rPr>
        <w:t xml:space="preserve"> r</w:t>
      </w:r>
      <w:r w:rsidR="008727E0" w:rsidRPr="00CA1544">
        <w:rPr>
          <w:rFonts w:ascii="Arial" w:hAnsi="Arial" w:cs="Arial"/>
          <w:b/>
          <w:color w:val="000000" w:themeColor="text1"/>
          <w:sz w:val="18"/>
          <w:szCs w:val="18"/>
        </w:rPr>
        <w:t xml:space="preserve">., </w:t>
      </w:r>
      <w:r w:rsidR="008727E0">
        <w:rPr>
          <w:rFonts w:ascii="Arial" w:hAnsi="Arial" w:cs="Arial"/>
          <w:b/>
          <w:sz w:val="18"/>
          <w:szCs w:val="18"/>
        </w:rPr>
        <w:t>znak: WOŚr-Vll.6220.1.8.2023</w:t>
      </w:r>
      <w:r w:rsidR="00A63FEB" w:rsidRPr="00A9575C">
        <w:rPr>
          <w:rFonts w:ascii="Arial" w:hAnsi="Arial" w:cs="Arial"/>
          <w:b/>
          <w:sz w:val="18"/>
          <w:szCs w:val="18"/>
        </w:rPr>
        <w:t>.KM</w:t>
      </w:r>
    </w:p>
    <w:p w:rsidR="009E4405" w:rsidRPr="00A9575C" w:rsidRDefault="009E4405" w:rsidP="00653ADD">
      <w:pPr>
        <w:spacing w:line="276" w:lineRule="auto"/>
        <w:ind w:left="14" w:right="14"/>
        <w:rPr>
          <w:rFonts w:ascii="Arial" w:hAnsi="Arial" w:cs="Arial"/>
          <w:sz w:val="18"/>
          <w:szCs w:val="18"/>
        </w:rPr>
      </w:pPr>
    </w:p>
    <w:p w:rsidR="00B94EAA" w:rsidRPr="00A9575C" w:rsidRDefault="00A63FEB" w:rsidP="008727E0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 xml:space="preserve">Charakterystyka planowanego przedsięwzięcia pn.: </w:t>
      </w:r>
      <w:r w:rsidR="008727E0">
        <w:rPr>
          <w:rFonts w:ascii="Arial" w:hAnsi="Arial" w:cs="Arial"/>
          <w:sz w:val="18"/>
          <w:szCs w:val="18"/>
        </w:rPr>
        <w:t>„Budowa punktu zbierania i wstępnego przetwarzania baterii przy ulicy Narzędziowej 15 na działce nr ew. 66/1 obręb 4058 w Szczecinie”</w:t>
      </w:r>
      <w:r w:rsidRPr="00A9575C">
        <w:rPr>
          <w:rFonts w:ascii="Arial" w:hAnsi="Arial" w:cs="Arial"/>
          <w:sz w:val="18"/>
          <w:szCs w:val="18"/>
        </w:rPr>
        <w:t xml:space="preserve"> zgodnie z art. 82 ust. 3 ustawy z dnia 3 października 2008 r. o udostępnianiu informacji o środowisku i jego ochronie, udziale społeczeństwa w ochronie środowiska oraz o ocenach oddziaływania na środowisko (Dz. U. z 2022 r., poz. 1029 ze zm.).</w:t>
      </w:r>
    </w:p>
    <w:p w:rsidR="00C715B6" w:rsidRPr="00AE64E1" w:rsidRDefault="00C715B6" w:rsidP="002817FE">
      <w:pPr>
        <w:spacing w:after="120" w:line="276" w:lineRule="auto"/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  <w:r w:rsidRPr="00AE64E1">
        <w:rPr>
          <w:rFonts w:ascii="Arial" w:hAnsi="Arial" w:cs="Arial"/>
          <w:color w:val="000000" w:themeColor="text1"/>
          <w:sz w:val="18"/>
          <w:szCs w:val="18"/>
        </w:rPr>
        <w:t>Przedmiotowy punkt zbierania i wstępnego przetwarzania baterii będzie specjalizował się w świadczeniu usług polegających na kupowaniu zużytych baterii, ic</w:t>
      </w:r>
      <w:r w:rsidR="00E55DD8" w:rsidRPr="00AE64E1">
        <w:rPr>
          <w:rFonts w:ascii="Arial" w:hAnsi="Arial" w:cs="Arial"/>
          <w:color w:val="000000" w:themeColor="text1"/>
          <w:sz w:val="18"/>
          <w:szCs w:val="18"/>
        </w:rPr>
        <w:t xml:space="preserve">h magazynowaniu i ewentualnemu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wstępnemu przetwarzaniu. Przedmiotowe przedsięwzięcie zrealizowane zostanie przy ulicy Narzędziowej 15, na działce o nr ew. 66/1 obręb 4058 w Szczecinie, której powierzchnia wynosi około 0,599 ha. Teren inwestycyjny obecnie wykorzystywany jest częściowo jako plac magazynowy oraz jest zabudowany halą, w której działalność gospodarczą w zakresie prowadzenia punktu skupu złomu żelaza i metali kolorowych prowadzi firma Syntom Metal Recycling Sp. z o. o. Na ten cel firma Syntom wykorzystuje utwardzony fragment działki o powierzchni około 0,12</w:t>
      </w:r>
      <w:r w:rsidR="00AE64E1" w:rsidRPr="00AE64E1">
        <w:rPr>
          <w:rFonts w:ascii="Arial" w:hAnsi="Arial" w:cs="Arial"/>
          <w:color w:val="000000" w:themeColor="text1"/>
          <w:sz w:val="18"/>
          <w:szCs w:val="18"/>
        </w:rPr>
        <w:t>0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ha oraz stojącą na działce halę magazynową o powie</w:t>
      </w:r>
      <w:r w:rsidR="00AE64E1" w:rsidRPr="00AE64E1">
        <w:rPr>
          <w:rFonts w:ascii="Arial" w:hAnsi="Arial" w:cs="Arial"/>
          <w:color w:val="000000" w:themeColor="text1"/>
          <w:sz w:val="18"/>
          <w:szCs w:val="18"/>
        </w:rPr>
        <w:t>rzchni około 0,010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ha</w:t>
      </w:r>
      <w:r w:rsidRPr="00AE64E1">
        <w:rPr>
          <w:rFonts w:ascii="Arial" w:hAnsi="Arial" w:cs="Arial"/>
          <w:color w:val="000000" w:themeColor="text1"/>
          <w:sz w:val="18"/>
          <w:szCs w:val="18"/>
          <w:vertAlign w:val="subscript"/>
        </w:rPr>
        <w:t xml:space="preserve">. </w:t>
      </w:r>
      <w:r w:rsidR="002817FE" w:rsidRPr="00AE64E1">
        <w:rPr>
          <w:rFonts w:ascii="Arial" w:hAnsi="Arial" w:cs="Arial"/>
          <w:color w:val="000000" w:themeColor="text1"/>
          <w:sz w:val="18"/>
          <w:szCs w:val="18"/>
          <w:vertAlign w:val="subscript"/>
        </w:rPr>
        <w:t xml:space="preserve"> </w:t>
      </w:r>
      <w:r w:rsidR="002817FE" w:rsidRPr="00AE64E1">
        <w:rPr>
          <w:rFonts w:ascii="Arial" w:hAnsi="Arial" w:cs="Arial"/>
          <w:color w:val="000000" w:themeColor="text1"/>
          <w:sz w:val="18"/>
          <w:szCs w:val="18"/>
        </w:rPr>
        <w:t xml:space="preserve">We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wschodniej części działki</w:t>
      </w:r>
      <w:r w:rsidR="00195055" w:rsidRPr="00AE64E1">
        <w:rPr>
          <w:rFonts w:ascii="Arial" w:hAnsi="Arial" w:cs="Arial"/>
          <w:color w:val="000000" w:themeColor="text1"/>
          <w:sz w:val="18"/>
          <w:szCs w:val="18"/>
        </w:rPr>
        <w:t xml:space="preserve"> znajduje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stacja bazowa telefonii komórkowej, która zajmuje teren około 0,013 ha. Pozostały teren o powierzchni około 0,456 ha, w chwili obecnej nie jest użytkowany i porośnięty jest roślinnością o charakterze ruderalnym. Cały teren jest ogrodzony</w:t>
      </w:r>
      <w:r w:rsidR="002817FE" w:rsidRPr="00AE64E1">
        <w:rPr>
          <w:rFonts w:ascii="Arial" w:hAnsi="Arial" w:cs="Arial"/>
          <w:color w:val="000000" w:themeColor="text1"/>
          <w:sz w:val="18"/>
          <w:szCs w:val="18"/>
        </w:rPr>
        <w:t>, objęty całodobowym monitoringiem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 i zabezpieczony przed wstępem osób postronnych. Od ulicy Narzędziowej zlokalizowana jest brama wjazdowa. Parking dla pracowników i klientów zlokalizowany jest na placu parkingowym przy bramie wjazdowej na teren zakładu. Teren jest. Na działkach sąsiadujących od strony zachodniej z miejscem planowanej inwestycji prowadzona jest działalność o podobnym profilu. Z treści karty informacyjnej przedsięwzięcia wynika, ze w punkcie zatrudnionych będzie do trzech pracowników, z czego jedna osoba będzie zatrudniona do prac typowo biurowych, natomiast dwie pozostałe przy przy</w:t>
      </w:r>
      <w:r w:rsidR="002817FE" w:rsidRPr="00AE64E1">
        <w:rPr>
          <w:rFonts w:ascii="Arial" w:hAnsi="Arial" w:cs="Arial"/>
          <w:color w:val="000000" w:themeColor="text1"/>
          <w:sz w:val="18"/>
          <w:szCs w:val="18"/>
        </w:rPr>
        <w:t xml:space="preserve">jmowaniu dostaw, magazynowaniu 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i prowadzeniu procesów recyclingu. Zakład pracował będzie w systemie jednozmianowym w godz</w:t>
      </w:r>
      <w:r w:rsidR="007A6F86">
        <w:rPr>
          <w:rFonts w:ascii="Arial" w:hAnsi="Arial" w:cs="Arial"/>
          <w:color w:val="000000" w:themeColor="text1"/>
          <w:sz w:val="18"/>
          <w:szCs w:val="18"/>
        </w:rPr>
        <w:t>inach od 7.00 do 15.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 xml:space="preserve">00, 5 dni </w:t>
      </w:r>
      <w:r w:rsidR="007A6F86">
        <w:rPr>
          <w:rFonts w:ascii="Arial" w:hAnsi="Arial" w:cs="Arial"/>
          <w:color w:val="000000" w:themeColor="text1"/>
          <w:sz w:val="18"/>
          <w:szCs w:val="18"/>
        </w:rPr>
        <w:br/>
      </w:r>
      <w:r w:rsidRPr="00AE64E1">
        <w:rPr>
          <w:rFonts w:ascii="Arial" w:hAnsi="Arial" w:cs="Arial"/>
          <w:color w:val="000000" w:themeColor="text1"/>
          <w:sz w:val="18"/>
          <w:szCs w:val="18"/>
        </w:rPr>
        <w:t>w tygodniu, w przypadku większej ilości baterii przewidzianych do recyclingu dopuszcza się możliwość pracy</w:t>
      </w:r>
      <w:r w:rsidR="00AE64E1">
        <w:rPr>
          <w:rFonts w:ascii="Arial" w:hAnsi="Arial" w:cs="Arial"/>
          <w:color w:val="000000" w:themeColor="text1"/>
          <w:sz w:val="18"/>
          <w:szCs w:val="18"/>
        </w:rPr>
        <w:t xml:space="preserve"> zakładu w soboty w godzinach 7.00 – 15.</w:t>
      </w:r>
      <w:r w:rsidRPr="00AE64E1">
        <w:rPr>
          <w:rFonts w:ascii="Arial" w:hAnsi="Arial" w:cs="Arial"/>
          <w:color w:val="000000" w:themeColor="text1"/>
          <w:sz w:val="18"/>
          <w:szCs w:val="18"/>
        </w:rPr>
        <w:t>00. Funkcjonowanie zakładu nie będzie miała wpływu na istniejący obecnie punkt skupu metali należący do firmy Syntom  Metal Recycling.</w:t>
      </w:r>
    </w:p>
    <w:p w:rsidR="00A96B80" w:rsidRPr="00A96B80" w:rsidRDefault="00A96B80" w:rsidP="00C8700A">
      <w:pPr>
        <w:spacing w:after="120" w:line="276" w:lineRule="auto"/>
        <w:ind w:left="0" w:right="-6" w:firstLine="0"/>
        <w:rPr>
          <w:rFonts w:ascii="Arial" w:hAnsi="Arial" w:cs="Arial"/>
          <w:color w:val="000000" w:themeColor="text1"/>
          <w:sz w:val="18"/>
          <w:szCs w:val="18"/>
        </w:rPr>
      </w:pPr>
      <w:r w:rsidRPr="00A96B80">
        <w:rPr>
          <w:rFonts w:ascii="Arial" w:hAnsi="Arial" w:cs="Arial"/>
          <w:color w:val="000000" w:themeColor="text1"/>
          <w:sz w:val="18"/>
          <w:szCs w:val="18"/>
        </w:rPr>
        <w:t>Zbieranie odpadów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 przedmiotowym punkcie</w:t>
      </w:r>
      <w:r w:rsidRPr="00A96B80">
        <w:rPr>
          <w:rFonts w:ascii="Arial" w:hAnsi="Arial" w:cs="Arial"/>
          <w:color w:val="000000" w:themeColor="text1"/>
          <w:sz w:val="18"/>
          <w:szCs w:val="18"/>
        </w:rPr>
        <w:t xml:space="preserve"> prowadzone będzie w sposób selektywny. Odpady przyjmowane będą od przedsiębiorców, osób fizycznych niebędących przedsiębiorcami oraz podmiotów zwolnionych </w:t>
      </w:r>
      <w:r w:rsidR="00C8700A">
        <w:rPr>
          <w:rFonts w:ascii="Arial" w:hAnsi="Arial" w:cs="Arial"/>
          <w:color w:val="000000" w:themeColor="text1"/>
          <w:sz w:val="18"/>
          <w:szCs w:val="18"/>
        </w:rPr>
        <w:br/>
      </w:r>
      <w:r w:rsidRPr="00A96B80">
        <w:rPr>
          <w:rFonts w:ascii="Arial" w:hAnsi="Arial" w:cs="Arial"/>
          <w:color w:val="000000" w:themeColor="text1"/>
          <w:sz w:val="18"/>
          <w:szCs w:val="18"/>
        </w:rPr>
        <w:t xml:space="preserve">z obowiązku wpisu do rejestru BDO. Wszystkie przyjmowane baterie będą trafiały do punktu jako nie uszkodzone i zabezpieczone na czas transportu, będą one pochodziły głownie z napraw serwisowych samochodów elektrycznych. Odbiór odpadów zostanie poprzedzony procedurą weryfikacji odpadów polegającą na zebraniu informacji w zakresie rodzaju odpadu ( odpad dopuszczony do zbierania zgodnie z posiadaną decyzją) ilości odpadów, sposobu wykonania transportu( tj. luzem, w pojemnikach, workach big bag, na paletach), określeniu właściwości, pochodzenia odpadu, w niektórych przypadkach przesłania dokumentacji zdjęciowej oraz wstępnym określeniu terminu dostawy. Po wstępnej weryfikacji realizujący transport zostanie poinformowany o procedurach obowiązujących na teren zakładu oraz sposobie poruszania się i rozładunku odpadów. Dostarczony na teren zakładu odpad zostanie skierowany do strefy przyjęcia odpadów, gdzie będzie mała miejsce weryfikacja deklarowanej dostawy z wygenerowaną elektronicznie w systemie BDO przez dostawcę odpadów Kartą Przekazania Odpadów. Wyznaczony pracownik posiadający kwalifikacje oraz doświadczenie w zakresie materiałoznawstwa oceni zgodność klasyfikacji z Katalogiem Odpadów oraz na podstawie badania wzrokowego określi właściwości odpadów, możliwość wystąpienia zanieczyszczenie substancjami lub elementami niebezpiecznymi w celu zapewnienia bezpieczeństwa procesowego, w środowisku pracy oraz wyeliminowaniu możliwości emisji do środowiska. Kolejnym etapem przyjęcia odpadów jest wykonanie ważenia oraz skierowanie odpadów do strefy rozładunku. Strefa rozładunku jest usytuowana na utwardzonej szczennej powierzchni. </w:t>
      </w:r>
      <w:r w:rsidR="00C8700A">
        <w:rPr>
          <w:rFonts w:ascii="Arial" w:hAnsi="Arial" w:cs="Arial"/>
          <w:color w:val="000000" w:themeColor="text1"/>
          <w:sz w:val="18"/>
          <w:szCs w:val="18"/>
        </w:rPr>
        <w:br/>
      </w:r>
      <w:r w:rsidRPr="00A96B80">
        <w:rPr>
          <w:rFonts w:ascii="Arial" w:hAnsi="Arial" w:cs="Arial"/>
          <w:color w:val="000000" w:themeColor="text1"/>
          <w:sz w:val="18"/>
          <w:szCs w:val="18"/>
        </w:rPr>
        <w:t xml:space="preserve">W przypadku transportu odpadów różnego rodzaju ważenie wykonywane będzie w trakcie rozładunku </w:t>
      </w:r>
      <w:r w:rsidR="00C8700A">
        <w:rPr>
          <w:rFonts w:ascii="Arial" w:hAnsi="Arial" w:cs="Arial"/>
          <w:color w:val="000000" w:themeColor="text1"/>
          <w:sz w:val="18"/>
          <w:szCs w:val="18"/>
        </w:rPr>
        <w:br/>
      </w:r>
      <w:r w:rsidRPr="00A96B80">
        <w:rPr>
          <w:rFonts w:ascii="Arial" w:hAnsi="Arial" w:cs="Arial"/>
          <w:color w:val="000000" w:themeColor="text1"/>
          <w:sz w:val="18"/>
          <w:szCs w:val="18"/>
        </w:rPr>
        <w:t xml:space="preserve">z zachowaniem zasady selektywnej zbiórki, a następnie przekazywane do miejsc, gdzie będą magazynowane dane rodzaje odpadów. Wszystkie odpady przyjmowane bez względu na ich dalszy sposób magazynowania (luzem, </w:t>
      </w:r>
      <w:r w:rsidR="00C8700A">
        <w:rPr>
          <w:rFonts w:ascii="Arial" w:hAnsi="Arial" w:cs="Arial"/>
          <w:color w:val="000000" w:themeColor="text1"/>
          <w:sz w:val="18"/>
          <w:szCs w:val="18"/>
        </w:rPr>
        <w:br/>
      </w:r>
      <w:r w:rsidRPr="00A96B80">
        <w:rPr>
          <w:rFonts w:ascii="Arial" w:hAnsi="Arial" w:cs="Arial"/>
          <w:color w:val="000000" w:themeColor="text1"/>
          <w:sz w:val="18"/>
          <w:szCs w:val="18"/>
        </w:rPr>
        <w:t xml:space="preserve">w pojemnikach, kontenerach, workach big bag) będą rozładowywane/załadowywane przy pomocy wózka widłowego, ładowarki lub ręcznie w zależności od struktury odpadu. Przy pomocy wózka widłowego będą przeładowywane odpady umieszczone w workach typu big-bag posiadających specjalne uchwyty (takie, aby można było naciągnąć je na widły wózka) jak również umieszczone w pojemnikach lub na paletach. Ręcznie będą przeładowywane odpady o gabarytach pozwalających na bezpieczne ich przeniesienie przez pracowników. Będą </w:t>
      </w:r>
      <w:r w:rsidRPr="00A96B80">
        <w:rPr>
          <w:rFonts w:ascii="Arial" w:hAnsi="Arial" w:cs="Arial"/>
          <w:color w:val="000000" w:themeColor="text1"/>
          <w:sz w:val="18"/>
          <w:szCs w:val="18"/>
        </w:rPr>
        <w:lastRenderedPageBreak/>
        <w:t>to odpady o stałej, zbitej postaci. Odpady, które zostaną dostarczone w pojemnikach, które należy oddać klientowi będą przewożone w pojemnikach klienta do zważenia, po zważeniu zostaną dostarczone w pojemniku na miejsce magazynowania, gdzie nastąpi przeniesienie (przesypanie, przeniesienie ręczne) do pojemnika. W większości przypadków odpady w postaci sypkiej transportuje się w workach big bag unikając przesypywania. Natomiast worki rotują, jako opakowania wielokrotnego użycia. W przypadku źle zabezpieczonych odpadów będzie stosowana taka sama opcja przeładunku jak dla odpadów sypkich. Odpad zostanie odpowiednio zabezpieczony i przewieziony przy pomocy wózka widłowego w wyznaczone miejsce magazynowania.</w:t>
      </w:r>
    </w:p>
    <w:p w:rsidR="00A96B80" w:rsidRDefault="00A96B80" w:rsidP="00C8700A">
      <w:pPr>
        <w:spacing w:after="120" w:line="276" w:lineRule="auto"/>
        <w:ind w:left="0" w:right="-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terenie planowanego oprócz przyjmowania i magazynowania baterii Inwestor przewiduje również możliwość prowadzenia procesów przetwarzania i odzysku w procesie R12. Możliwe procesy przetwarzania polegać będą na demontażu wybranych elementów baterii oraz na rozładowywaniu zanurzeniowym poprzez zastosowanie cieczy elektrolitycznych do rozładowania strumienia zużytych baterii różnego </w:t>
      </w:r>
      <w:r w:rsidR="004F69ED">
        <w:rPr>
          <w:rFonts w:ascii="Arial" w:hAnsi="Arial" w:cs="Arial"/>
          <w:sz w:val="18"/>
          <w:szCs w:val="18"/>
        </w:rPr>
        <w:t>typu i rodzaju. W zależności od typu baterii i jej konstrukcji częściowy demontaż może polegać na usunięciu osłon z tworzywa sztucznego, demontażu wiązek pomiarowych, demontażu łączników miedzianych pomiędzy modułami, demontażu połączeń śrubowych oraz stalowych elementów konstrukcyjnych. Zakres i sposób demontażu będzie dobierany każdorazowo w zależności od rodzaju przyjętych baterii. Elementy baterii składające się głównie z modułów lub ogniw Li</w:t>
      </w:r>
      <w:r w:rsidR="00C8700A">
        <w:rPr>
          <w:rFonts w:ascii="Arial" w:hAnsi="Arial" w:cs="Arial"/>
          <w:sz w:val="18"/>
          <w:szCs w:val="18"/>
        </w:rPr>
        <w:t xml:space="preserve"> </w:t>
      </w:r>
      <w:r w:rsidR="004F69ED">
        <w:rPr>
          <w:rFonts w:ascii="Arial" w:hAnsi="Arial" w:cs="Arial"/>
          <w:sz w:val="18"/>
          <w:szCs w:val="18"/>
        </w:rPr>
        <w:t>- ion po demontażu będą przeznaczone do dalszego recyklingu w zakładzie. Natomiast proces rozładowania zanurzeniowego będzie odbywał się w szczelnej wannie  z elektrolitem, do którego będą opuszczane pakiety baterii na czas trwania procesu. Metoda zanurzeniowa będzie wykorzystywać roztwory soli nieorganicznych, które zapewniają dobre przewodnictwo elektryczne i tym samym dużą wydajność rozładowania. Rozładowane ogniwa będą przeznaczone do dalszego recyklingu w zakładzie recyklingu końcowego.</w:t>
      </w:r>
    </w:p>
    <w:p w:rsidR="00A74966" w:rsidRDefault="00C715B6" w:rsidP="004215DB">
      <w:pPr>
        <w:spacing w:after="120" w:line="276" w:lineRule="auto"/>
        <w:ind w:left="0" w:right="-6" w:firstLine="0"/>
        <w:rPr>
          <w:rFonts w:ascii="Arial" w:hAnsi="Arial" w:cs="Arial"/>
          <w:color w:val="000000" w:themeColor="text1"/>
          <w:sz w:val="18"/>
          <w:szCs w:val="18"/>
        </w:rPr>
      </w:pPr>
      <w:r w:rsidRPr="00C715B6">
        <w:rPr>
          <w:rFonts w:ascii="Arial" w:hAnsi="Arial" w:cs="Arial"/>
          <w:color w:val="000000" w:themeColor="text1"/>
          <w:sz w:val="18"/>
          <w:szCs w:val="18"/>
        </w:rPr>
        <w:t>Planowana inwestycja wpiszę się w istniejące warunki</w:t>
      </w:r>
      <w:r>
        <w:rPr>
          <w:rFonts w:ascii="Arial" w:hAnsi="Arial" w:cs="Arial"/>
          <w:color w:val="000000" w:themeColor="text1"/>
          <w:sz w:val="18"/>
          <w:szCs w:val="18"/>
        </w:rPr>
        <w:t>. W celu funkcjonowania punktu wykorzystany zostanie istniejący zjazd z drogi publicznej, waga samochodowa oraz zaplecze socjalne. Prace inwestycyjne będą polegały na wykonaniu fragmentu utwardzenia w celu umożliwienia przejazdu wózka widłowego z przyjętymi bateriami oraz utwardzenia powierzchni do 200 m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 w:themeColor="text1"/>
          <w:sz w:val="18"/>
          <w:szCs w:val="18"/>
        </w:rPr>
        <w:t>, na którym zostaną wykonane boksy w postaci murów oporowych z bloczków betonowych. Przewiduje się, że utwardzenie do celów komunikacji będzie miało szerokość do 6 m oraz długość około 45 m.</w:t>
      </w:r>
      <w:r w:rsidR="005F6B08">
        <w:rPr>
          <w:rFonts w:ascii="Arial" w:hAnsi="Arial" w:cs="Arial"/>
          <w:color w:val="000000" w:themeColor="text1"/>
          <w:sz w:val="18"/>
          <w:szCs w:val="18"/>
        </w:rPr>
        <w:t>. Powierzchnia tego utwardzenia będzie miała powierzchnię około 270 m</w:t>
      </w:r>
      <w:r w:rsidR="005F6B08">
        <w:rPr>
          <w:rFonts w:ascii="Arial" w:hAnsi="Arial" w:cs="Arial"/>
          <w:color w:val="000000" w:themeColor="text1"/>
          <w:sz w:val="18"/>
          <w:szCs w:val="18"/>
          <w:vertAlign w:val="superscript"/>
        </w:rPr>
        <w:t>2</w:t>
      </w:r>
      <w:r w:rsidR="005F6B08">
        <w:rPr>
          <w:rFonts w:ascii="Arial" w:hAnsi="Arial" w:cs="Arial"/>
          <w:color w:val="000000" w:themeColor="text1"/>
          <w:sz w:val="18"/>
          <w:szCs w:val="18"/>
        </w:rPr>
        <w:t>. W ramach realizacji inwestycji nie ma potrzeby wykonywania głębokich wykopów ani fundamentowania, utwardzenie terenu pod drogę wewnętrzną oraz boksy odbędzie się przy minimalnej ingerencji w grunt rodzimy.</w:t>
      </w:r>
    </w:p>
    <w:p w:rsidR="004215DB" w:rsidRDefault="004215DB" w:rsidP="003932BF">
      <w:pPr>
        <w:spacing w:after="120" w:line="276" w:lineRule="auto"/>
        <w:ind w:left="0" w:right="-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trakcie realizacji przedsięwzięcia woda na cele sanitarno – bytowe pobierana będzie z </w:t>
      </w:r>
      <w:r w:rsidR="003932BF">
        <w:rPr>
          <w:rFonts w:ascii="Arial" w:hAnsi="Arial" w:cs="Arial"/>
          <w:sz w:val="18"/>
          <w:szCs w:val="18"/>
        </w:rPr>
        <w:t xml:space="preserve">istniejącej sieci wodociągowej. </w:t>
      </w:r>
      <w:r>
        <w:rPr>
          <w:rFonts w:ascii="Arial" w:hAnsi="Arial" w:cs="Arial"/>
          <w:sz w:val="18"/>
          <w:szCs w:val="18"/>
        </w:rPr>
        <w:t>Ścieki socjalno – bytowe odprowadzane będą do istniejącego szczelnego zbiorn</w:t>
      </w:r>
      <w:r w:rsidR="003932BF">
        <w:rPr>
          <w:rFonts w:ascii="Arial" w:hAnsi="Arial" w:cs="Arial"/>
          <w:sz w:val="18"/>
          <w:szCs w:val="18"/>
        </w:rPr>
        <w:t xml:space="preserve">ika </w:t>
      </w:r>
      <w:r>
        <w:rPr>
          <w:rFonts w:ascii="Arial" w:hAnsi="Arial" w:cs="Arial"/>
          <w:sz w:val="18"/>
          <w:szCs w:val="18"/>
        </w:rPr>
        <w:t>bezodpływowego, a następnie przekazywane na podstawie umowy wozami asenizacyjnymi na oczyszczalnię ścieków. Wody opadowe i roztopowe będą odprowadzane bezpośrednio do gruntu.</w:t>
      </w:r>
    </w:p>
    <w:p w:rsidR="003932BF" w:rsidRDefault="003932BF" w:rsidP="003932BF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 w:rsidRPr="00A9575C">
        <w:rPr>
          <w:rFonts w:ascii="Arial" w:hAnsi="Arial" w:cs="Arial"/>
          <w:sz w:val="18"/>
          <w:szCs w:val="18"/>
        </w:rPr>
        <w:t>W fazie realizacji inwestycji nastąpi krótkotrwały wzrost poziomu substancji zanieczyszczających wprowadzanych do powietrza atmosferycznego oraz poziomu emitowanego hałasu związanego</w:t>
      </w:r>
      <w:r>
        <w:rPr>
          <w:rFonts w:ascii="Arial" w:hAnsi="Arial" w:cs="Arial"/>
          <w:sz w:val="18"/>
          <w:szCs w:val="18"/>
        </w:rPr>
        <w:t xml:space="preserve"> głownie z pracą maszyn budowlanych. </w:t>
      </w:r>
      <w:r w:rsidRPr="00A9575C">
        <w:rPr>
          <w:rFonts w:ascii="Arial" w:hAnsi="Arial" w:cs="Arial"/>
          <w:sz w:val="18"/>
          <w:szCs w:val="18"/>
        </w:rPr>
        <w:t>Będą to oddziaływania o lokalnym zasięgu i za</w:t>
      </w:r>
      <w:r>
        <w:rPr>
          <w:rFonts w:ascii="Arial" w:hAnsi="Arial" w:cs="Arial"/>
          <w:sz w:val="18"/>
          <w:szCs w:val="18"/>
        </w:rPr>
        <w:t xml:space="preserve">kończą się wraz z ustaniem prac. </w:t>
      </w:r>
    </w:p>
    <w:p w:rsidR="003932BF" w:rsidRDefault="003932BF" w:rsidP="003932BF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Podczas prac inwestycyjnych nie przewiduje się generowania znacznych ilości odpadów. Jak wskazał autor karty informacyjnej przedsięwzięcia na etapie utwardzania terenu przed położeniem płyt oraz ustawieniem boksów </w:t>
      </w:r>
      <w:r>
        <w:rPr>
          <w:rFonts w:ascii="Arial" w:hAnsi="Arial" w:cs="Arial"/>
          <w:sz w:val="18"/>
          <w:szCs w:val="18"/>
        </w:rPr>
        <w:br/>
        <w:t>z bloczków betonowych może powstać kilkadziesiąt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wierzchniej warstwy ziemi, która zostanie wykorzystywana w miejscu inwestycji. Niewykorzystany nadmiar w postaci odpadu zostanie przekazany uprawnionym odbiorcom </w:t>
      </w:r>
      <w:r>
        <w:rPr>
          <w:rFonts w:ascii="Arial" w:hAnsi="Arial" w:cs="Arial"/>
          <w:sz w:val="18"/>
          <w:szCs w:val="18"/>
        </w:rPr>
        <w:br/>
        <w:t>w celu dalszego zagospodarowania.</w:t>
      </w:r>
    </w:p>
    <w:p w:rsidR="003932BF" w:rsidRDefault="003932BF" w:rsidP="003932BF">
      <w:pPr>
        <w:spacing w:after="0" w:line="276" w:lineRule="auto"/>
        <w:ind w:left="14" w:right="-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Planowane przedsięwzięcie wpisuje się w istniejące warunki, w celu funkcjonowania inwestycji wykorzystana zostanie istniejąca infrastruktura m.in. waga samochodowa, zaplecze socjalne oraz istniejący zjazd z drogi publicznej. Na potrzeby realizacji inwestycji niezbędne będzie jedynie wykonanie fragmentu utwardzenia w celu umożliwienia przejazdu wózka widłowego z przyjętymi bateriami oraz utwardzenie powierzchni </w:t>
      </w:r>
      <w:r w:rsidR="00CA1544">
        <w:rPr>
          <w:rFonts w:ascii="Arial" w:hAnsi="Arial" w:cs="Arial"/>
          <w:sz w:val="18"/>
          <w:szCs w:val="18"/>
        </w:rPr>
        <w:t>około 0,02 ha</w:t>
      </w:r>
      <w:r>
        <w:rPr>
          <w:rFonts w:ascii="Arial" w:hAnsi="Arial" w:cs="Arial"/>
          <w:sz w:val="18"/>
          <w:szCs w:val="18"/>
        </w:rPr>
        <w:t>, na którym będą wykonywane boksy w postaci murów oporowych z bloczków betonowych.</w:t>
      </w:r>
    </w:p>
    <w:p w:rsidR="003932BF" w:rsidRPr="00B658C8" w:rsidRDefault="003932BF" w:rsidP="003932BF">
      <w:pPr>
        <w:spacing w:after="0" w:line="276" w:lineRule="auto"/>
        <w:ind w:left="14" w:right="14"/>
        <w:rPr>
          <w:rFonts w:ascii="Arial" w:hAnsi="Arial" w:cs="Arial"/>
          <w:noProof/>
          <w:sz w:val="18"/>
          <w:szCs w:val="18"/>
        </w:rPr>
      </w:pPr>
    </w:p>
    <w:p w:rsidR="003932BF" w:rsidRDefault="003932BF" w:rsidP="003932BF">
      <w:pPr>
        <w:spacing w:after="120" w:line="276" w:lineRule="auto"/>
        <w:ind w:left="11" w:right="125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Planowane do realizacji boksy nie będą wymagały ogrzewania, pomieszczenia socjalne, które będą użytkowane przez Inwestora znajdują się w istniejącym już budynku  i są ogrzewane przy pomocy energii elektrycznej. Energia elektryczna wykorzystywana będzie ponadto do oświetlenia pomieszczeń socjalnych wewnątrz budynku oraz podtrzymania pracy urządzeń monitorujących i wagi samochodowej. Planowana inwestycja nie wiąże się </w:t>
      </w:r>
      <w:r>
        <w:rPr>
          <w:rFonts w:ascii="Arial" w:hAnsi="Arial" w:cs="Arial"/>
          <w:sz w:val="18"/>
          <w:szCs w:val="18"/>
        </w:rPr>
        <w:br/>
        <w:t xml:space="preserve">z instalowaniem nowych energochłonnych urządzeń. W związku z pracą planowanego punktu wykorzystywany będzie wózek widłowy zasilany gazem LPG. Podczas użytkowania przedsięwzięcia woda używana będzie wyłącznie do celów socjalno – bytowych. Woda pobierana jest i będzie z istniejącej sieci wodociągowej. Ścieki socjalno – bytowe odprowadzane będą do istniejącego szczelnego zbiornika bezodpływowego o pojemności </w:t>
      </w:r>
      <w:r>
        <w:rPr>
          <w:rFonts w:ascii="Arial" w:hAnsi="Arial" w:cs="Arial"/>
          <w:sz w:val="18"/>
          <w:szCs w:val="18"/>
        </w:rPr>
        <w:br/>
        <w:t>10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. Szacowana ilość produkowanych ścieków będzie wynosić około 0,135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dziennie. Ścieki ze zbiorników </w:t>
      </w:r>
      <w:r>
        <w:rPr>
          <w:rFonts w:ascii="Arial" w:hAnsi="Arial" w:cs="Arial"/>
          <w:sz w:val="18"/>
          <w:szCs w:val="18"/>
        </w:rPr>
        <w:lastRenderedPageBreak/>
        <w:t>wywożone są wozami asenizacyjnymi przez uprawnione podmioty, posiadające stosowne zezwolenia w tym zakresie. Jak wskazano w karcie informacyjnej przedsięwzięcia działalność prowadzona przez firmę Syntom Metal Recycling Sp. z o .o . jak równie z przedmiotowy punkt zbierania baterii prowadzona jest i będzie pod zadaszeniem, w związku z czym woda  opadowa nie ma i nie będzie miała kontaktu z odpadami, zatem należy traktować ją jako czystą. Tak jak ma to miejsce obecnie, również po zrealizowaniu przedsięwzięcia wody opadowe  będą infiltrowały swobodnie w teren biologicznie czynny. Z treści karty informacyjnej przedsięwzięcia wynika również, że teren zielony stanowi prawie 70 % całości terenu, zatem wody te swobodnie będą mogły naturalnie wsiąkać w teren nie powodując zagrożenia dla działek sąsiednich. Ścieki deszczowe pochodzące z terenu omawianej inwestycji tj. z powierzchni dachowej czy utwardzonej będą w swoim składzie głównie zawierały zawiesinę mineralną oraz substancje rozpuszczone, będące naturalnymi składnikami wód opadowych  i są to tzw. ścieki czyste.</w:t>
      </w:r>
    </w:p>
    <w:p w:rsidR="003932BF" w:rsidRDefault="003932BF" w:rsidP="003932BF">
      <w:pPr>
        <w:spacing w:after="120" w:line="276" w:lineRule="auto"/>
        <w:ind w:left="11" w:right="125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Mając na uwadze skalę i charakter przedmiotowego przedsięwzięcia nie przewiduje się wystąpienia ponadnormatywnej emisji gazów i pyłów do powietrza. Na etapie użytkowania punktu będzie miała miejsce jedynie niezorganizowana emisja pyłów i spalin ze środków transportu poruszających się po terenie inwestycji. Oddziaływanie w tym zakresie będzie miało charakter lokalny i powinno zamknąć się w obrębie działki, na której będzie prowadzona działalność.</w:t>
      </w:r>
    </w:p>
    <w:p w:rsidR="00CA1544" w:rsidRDefault="00CA1544" w:rsidP="00CA1544">
      <w:pPr>
        <w:spacing w:after="120" w:line="276" w:lineRule="auto"/>
        <w:ind w:left="11" w:right="125" w:firstLine="6"/>
        <w:rPr>
          <w:rFonts w:ascii="Times New Roman" w:eastAsia="Times New Roman" w:hAnsi="Times New Roman" w:cs="Times New Roman"/>
        </w:rPr>
      </w:pPr>
      <w:r w:rsidRPr="00F54774">
        <w:rPr>
          <w:rFonts w:ascii="Arial" w:eastAsia="Times New Roman" w:hAnsi="Arial" w:cs="Arial"/>
          <w:sz w:val="18"/>
          <w:szCs w:val="18"/>
        </w:rPr>
        <w:t xml:space="preserve">Eksploatacja inwestycji będzie wiązać się z emisją hałasu. Wpływ na klimat akustyczny związany będzie </w:t>
      </w:r>
      <w:r>
        <w:rPr>
          <w:rFonts w:ascii="Arial" w:eastAsia="Times New Roman" w:hAnsi="Arial" w:cs="Arial"/>
          <w:sz w:val="18"/>
          <w:szCs w:val="18"/>
        </w:rPr>
        <w:br/>
      </w:r>
      <w:r w:rsidRPr="00F54774">
        <w:rPr>
          <w:rFonts w:ascii="Arial" w:eastAsia="Times New Roman" w:hAnsi="Arial" w:cs="Arial"/>
          <w:sz w:val="18"/>
          <w:szCs w:val="18"/>
        </w:rPr>
        <w:t xml:space="preserve">w szczególności z </w:t>
      </w:r>
      <w:r>
        <w:rPr>
          <w:rFonts w:ascii="Arial" w:eastAsia="Times New Roman" w:hAnsi="Arial" w:cs="Arial"/>
          <w:sz w:val="18"/>
          <w:szCs w:val="18"/>
        </w:rPr>
        <w:t>ruchem</w:t>
      </w:r>
      <w:r w:rsidRPr="00F54774">
        <w:rPr>
          <w:rFonts w:ascii="Arial" w:eastAsia="Times New Roman" w:hAnsi="Arial" w:cs="Arial"/>
          <w:sz w:val="18"/>
          <w:szCs w:val="18"/>
        </w:rPr>
        <w:t xml:space="preserve"> samochodowym na terenie zakładu. Na potrzeby wykonania obliczeń emisji hałasu przyjęto następujące źródła hałasu (uwzględniające zarówno planowaną instalację, jak również funkcjonujący zakład firmy Syntom Metal Recykling): hala (w której magazynowane są odpady metalowych), waga samochodowa oraz ruch samochodowy (15 szt. samochodów osobowych i dostawczych, 2 szt. samochodów ciężarowych oraz przejazdy wózka widłowego). Najbliższymi terenami chronionymi akustycznie są tereny zabudowy</w:t>
      </w:r>
      <w:r>
        <w:rPr>
          <w:rFonts w:ascii="Arial" w:eastAsia="Times New Roman" w:hAnsi="Arial" w:cs="Arial"/>
          <w:sz w:val="18"/>
          <w:szCs w:val="18"/>
        </w:rPr>
        <w:t xml:space="preserve"> mieszkaniowej jednorodzinnej - </w:t>
      </w:r>
      <w:r w:rsidRPr="00F54774">
        <w:rPr>
          <w:rFonts w:ascii="Arial" w:eastAsia="Times New Roman" w:hAnsi="Arial" w:cs="Arial"/>
          <w:sz w:val="18"/>
          <w:szCs w:val="18"/>
        </w:rPr>
        <w:t>zlokalizowane w odległości ok. 90 m (na działkach nr 2/12 oraz 2/13 obręb Dąbie 58). Przeprowadzona analiza w zakresie emisji hałasu nie wykazała jednak przekroczeń obowiązujących w tym zakresie norm w odniesieniu do ww. terenów. Otrzymany w wyniku modelowan</w:t>
      </w:r>
      <w:r>
        <w:rPr>
          <w:rFonts w:ascii="Arial" w:eastAsia="Times New Roman" w:hAnsi="Arial" w:cs="Arial"/>
          <w:sz w:val="18"/>
          <w:szCs w:val="18"/>
        </w:rPr>
        <w:t xml:space="preserve">ia poziom hałasu wyniósł 37,7 - </w:t>
      </w:r>
      <w:r w:rsidRPr="00F54774">
        <w:rPr>
          <w:rFonts w:ascii="Arial" w:eastAsia="Times New Roman" w:hAnsi="Arial" w:cs="Arial"/>
          <w:sz w:val="18"/>
          <w:szCs w:val="18"/>
        </w:rPr>
        <w:t xml:space="preserve">38,5 dB, przy obowiązujących normach na poziomie 50 dB w porze dnia oraz 40 dB </w:t>
      </w:r>
      <w:r>
        <w:rPr>
          <w:rFonts w:ascii="Arial" w:eastAsia="Times New Roman" w:hAnsi="Arial" w:cs="Arial"/>
          <w:sz w:val="18"/>
          <w:szCs w:val="18"/>
        </w:rPr>
        <w:br/>
      </w:r>
      <w:r w:rsidRPr="00F54774">
        <w:rPr>
          <w:rFonts w:ascii="Arial" w:eastAsia="Times New Roman" w:hAnsi="Arial" w:cs="Arial"/>
          <w:sz w:val="18"/>
          <w:szCs w:val="18"/>
        </w:rPr>
        <w:t>w porze nocy</w:t>
      </w:r>
      <w:r>
        <w:rPr>
          <w:rFonts w:ascii="Times New Roman" w:eastAsia="Times New Roman" w:hAnsi="Times New Roman" w:cs="Times New Roman"/>
        </w:rPr>
        <w:t>.</w:t>
      </w:r>
    </w:p>
    <w:p w:rsidR="003932BF" w:rsidRDefault="003932BF" w:rsidP="003932BF">
      <w:p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trakcie eksploatacji przedsięwzięcia powstawać będą głównie odpady komunalne powstające w wyniku funkcjonowania zaplecza socjalnego oraz biura. Powstałe odpady będą odbierane przez firmy posiadające stosowne uprawnienia w tym zakresie. W trakcie prowadzenia działalności powstanie odpad o kodzie 15 02 02*- sorbenty, materiały filtracyjne, tkaniny do wycierania i ubrania ochronne zanieczyszczone substancjami niebezpiecznymi. Odpad powstanie z usuwania drobnych wycieków z środków transportu. Odpad ten </w:t>
      </w:r>
      <w:r>
        <w:rPr>
          <w:rFonts w:ascii="Arial" w:hAnsi="Arial" w:cs="Arial"/>
          <w:sz w:val="18"/>
          <w:szCs w:val="18"/>
        </w:rPr>
        <w:br/>
        <w:t>w szacunkowej ilości nie przekroczy 0,100 Mg/rok, będzie on gromadzony w szczelnym pojemniku, a następnie przekazywany uprawnionej firmie do unieszkodliwienia.</w:t>
      </w:r>
    </w:p>
    <w:p w:rsidR="003932BF" w:rsidRPr="003932BF" w:rsidRDefault="003932BF" w:rsidP="003932BF">
      <w:p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8170FF">
        <w:rPr>
          <w:rFonts w:ascii="Arial" w:hAnsi="Arial" w:cs="Arial"/>
          <w:sz w:val="18"/>
          <w:szCs w:val="18"/>
        </w:rPr>
        <w:t xml:space="preserve">Punkt zbierania i wstępnego przetwarzania będzie specjalizował się w świadczeniu usług polegających na kupowaniu zużytych baterii, ich magazynowaniu i ewentualnemu przetwarzaniu. Zwykle po zebraniu odpowiedniej partii transportowej odpady będą odbierane przez specjalistyczne firmy i przekazywane do zakładu recyklingu końcowego. Po odpowiednim przygotowaniu odpadów poprzez ich przeglądanie, selekcjonowanie, w zależności od rodzaju baterii, magazynowaniu i/lub poddanie przetwarzaniu a następnie przygotowaniu do transportu. Magazynowanie odpadów odbywać się będzie zgodnie z wymaganiami w zakresie ochrony środowiska, oraz bezpieczeństwa, życia i zdrowia ludzi, w szczególności w sposób uwzględniający wymagania określone w ustawie o odpadach oraz o bateriach i akumulatorach. Zbierane odpady będą magazynowane w zadaszonych boksach </w:t>
      </w:r>
      <w:r w:rsidRPr="008170FF">
        <w:rPr>
          <w:rFonts w:ascii="Arial" w:hAnsi="Arial" w:cs="Arial"/>
          <w:sz w:val="18"/>
          <w:szCs w:val="18"/>
        </w:rPr>
        <w:br/>
        <w:t xml:space="preserve">o utwardzonym, szczelnym podłożu w kontenerach, pojemnikach oraz na paletach. Odpady będą magazynowane w punkcie zbierania wyłącznie przez czas niezbędny do zebrania minimum logistycznego wymaganego do przewiezienia ich do </w:t>
      </w:r>
      <w:r>
        <w:rPr>
          <w:rFonts w:ascii="Arial" w:hAnsi="Arial" w:cs="Arial"/>
          <w:sz w:val="18"/>
          <w:szCs w:val="18"/>
        </w:rPr>
        <w:t xml:space="preserve">miejsca dalszego przeznaczenia, następnie po </w:t>
      </w:r>
      <w:r w:rsidRPr="008170FF">
        <w:rPr>
          <w:rFonts w:ascii="Arial" w:hAnsi="Arial" w:cs="Arial"/>
          <w:sz w:val="18"/>
          <w:szCs w:val="18"/>
        </w:rPr>
        <w:t xml:space="preserve">przygotowaniu odpowiedniej partii </w:t>
      </w:r>
      <w:r w:rsidRPr="003932BF">
        <w:rPr>
          <w:rFonts w:ascii="Arial" w:hAnsi="Arial" w:cs="Arial"/>
          <w:sz w:val="18"/>
          <w:szCs w:val="18"/>
        </w:rPr>
        <w:t>transportowej będą one przetransportowane do zakładu posiadającego uprawnienia do zagospodarowania baterii.</w:t>
      </w:r>
    </w:p>
    <w:p w:rsidR="003932BF" w:rsidRDefault="003932BF" w:rsidP="003932BF">
      <w:pPr>
        <w:spacing w:after="120" w:line="276" w:lineRule="auto"/>
        <w:ind w:left="0" w:right="-6" w:firstLine="0"/>
        <w:rPr>
          <w:rFonts w:ascii="Arial" w:hAnsi="Arial" w:cs="Arial"/>
          <w:sz w:val="18"/>
          <w:szCs w:val="18"/>
        </w:rPr>
      </w:pPr>
      <w:r w:rsidRPr="003932BF">
        <w:rPr>
          <w:rFonts w:ascii="Arial" w:hAnsi="Arial" w:cs="Arial"/>
          <w:iCs/>
          <w:sz w:val="18"/>
          <w:szCs w:val="18"/>
        </w:rPr>
        <w:t xml:space="preserve">Na terenie planowanego przedsięwzięcia oprócz zbierania i magazynowania baterii przewiduje się możliwość prowadzenia procesów przetwarzania. Jak wskazano w uzupełnieniu przedłożonym do karty informacyjnej przedsięwzięcia na terenie punktu prowadzony będzie jedynie proces R12, do dalszych procesów odzysku </w:t>
      </w:r>
      <w:r w:rsidRPr="003932BF">
        <w:rPr>
          <w:rFonts w:ascii="Arial" w:hAnsi="Arial" w:cs="Arial"/>
          <w:iCs/>
          <w:sz w:val="18"/>
          <w:szCs w:val="18"/>
        </w:rPr>
        <w:br/>
        <w:t>i recyklingu odpady będą przekazywane do specjalistycznych zakładów.</w:t>
      </w:r>
      <w:r w:rsidRPr="003932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Możliwe procesy przetwarzania polegać będą na demontażu wybranych elementów baterii oraz na rozładowywaniu zanurzeniowym poprzez zastosowanie cieczy elektrolitycznych do rozładowania strumienia zużytych baterii różnego typu i rodzaju. W zależności od typu baterii i jej konstrukcji częściowy demontaż może polegać na usunięciu osłon z tworzywa sztucznego, demontażu wiązek pomiarowych, demontażu łączników miedzianych pomiędzy modułami, demontażu połączeń śrubowych oraz stalowych elementów konstrukcyjnych. Zakres i sposób demontażu będzie dobierany każdorazowo </w:t>
      </w:r>
      <w:r w:rsidR="007A6F8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zależności od rodzaju przyjętych baterii. Elementy baterii składające się głównie z modułów lub ogniw Li - ion po demontażu będą przeznaczone do dalszego recyklingu w zakładzie. Natomiast proces rozładowania </w:t>
      </w:r>
      <w:r>
        <w:rPr>
          <w:rFonts w:ascii="Arial" w:hAnsi="Arial" w:cs="Arial"/>
          <w:sz w:val="18"/>
          <w:szCs w:val="18"/>
        </w:rPr>
        <w:lastRenderedPageBreak/>
        <w:t>zanurzeniowego będzie odbywał się w szczelnej wannie  z elektrolitem, do którego będą opuszczane pakiety baterii na czas trwania procesu. Metoda zanurzeniowa będzie wykorzystywać roztwory soli nieorganicznych, które zapewniają dobre przewodnictwo elektryczne i tym samym dużą wydajność rozładowania. Rozładowane ogniwa będą przeznaczone do dalszego recyklingu w zakładzie recyklingu końcowego.</w:t>
      </w:r>
    </w:p>
    <w:p w:rsidR="003932BF" w:rsidRPr="00633250" w:rsidRDefault="003932BF" w:rsidP="003932BF">
      <w:pPr>
        <w:spacing w:after="120" w:line="280" w:lineRule="exact"/>
        <w:ind w:left="0" w:firstLine="0"/>
        <w:rPr>
          <w:rFonts w:ascii="Arial" w:hAnsi="Arial" w:cs="Arial"/>
          <w:sz w:val="18"/>
          <w:szCs w:val="18"/>
          <w:lang w:eastAsia="en-US"/>
        </w:rPr>
      </w:pPr>
      <w:r w:rsidRPr="00633250">
        <w:rPr>
          <w:rFonts w:ascii="Arial" w:hAnsi="Arial" w:cs="Arial"/>
          <w:sz w:val="18"/>
          <w:szCs w:val="18"/>
          <w:lang w:eastAsia="en-US"/>
        </w:rPr>
        <w:t>Tab. 1 Rodzaje odpadów przewidziane do zbierania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267"/>
        <w:gridCol w:w="7287"/>
      </w:tblGrid>
      <w:tr w:rsidR="003932BF" w:rsidRPr="00633250" w:rsidTr="002817FE">
        <w:trPr>
          <w:trHeight w:val="278"/>
        </w:trPr>
        <w:tc>
          <w:tcPr>
            <w:tcW w:w="571" w:type="dxa"/>
          </w:tcPr>
          <w:p w:rsidR="003932BF" w:rsidRPr="00633250" w:rsidRDefault="003932BF" w:rsidP="005B134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67" w:type="dxa"/>
          </w:tcPr>
          <w:p w:rsidR="003932BF" w:rsidRPr="00633250" w:rsidRDefault="003932BF" w:rsidP="005B13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Kod opadu</w:t>
            </w:r>
          </w:p>
        </w:tc>
        <w:tc>
          <w:tcPr>
            <w:tcW w:w="7287" w:type="dxa"/>
          </w:tcPr>
          <w:p w:rsidR="003932BF" w:rsidRPr="00633250" w:rsidRDefault="003932BF" w:rsidP="005B13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</w:tr>
      <w:tr w:rsidR="003932BF" w:rsidRPr="00633250" w:rsidTr="002817FE">
        <w:trPr>
          <w:trHeight w:val="326"/>
        </w:trPr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267" w:type="dxa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16 06 04</w:t>
            </w:r>
          </w:p>
        </w:tc>
        <w:tc>
          <w:tcPr>
            <w:tcW w:w="7287" w:type="dxa"/>
          </w:tcPr>
          <w:p w:rsidR="003932BF" w:rsidRPr="00633250" w:rsidRDefault="003932BF" w:rsidP="005B13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alkaliczne (z wyłączeniem 16 06 03)</w:t>
            </w:r>
          </w:p>
        </w:tc>
      </w:tr>
      <w:tr w:rsidR="003932BF" w:rsidRPr="00633250" w:rsidTr="002817FE">
        <w:trPr>
          <w:trHeight w:val="274"/>
        </w:trPr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267" w:type="dxa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16 06 05</w:t>
            </w:r>
          </w:p>
        </w:tc>
        <w:tc>
          <w:tcPr>
            <w:tcW w:w="7287" w:type="dxa"/>
          </w:tcPr>
          <w:p w:rsidR="003932BF" w:rsidRPr="00633250" w:rsidRDefault="003932BF" w:rsidP="005B13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Inne baterie akumulatorowe</w:t>
            </w:r>
          </w:p>
        </w:tc>
      </w:tr>
      <w:tr w:rsidR="003932BF" w:rsidRPr="00633250" w:rsidTr="002817FE">
        <w:trPr>
          <w:trHeight w:val="238"/>
        </w:trPr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267" w:type="dxa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20 01 34</w:t>
            </w:r>
          </w:p>
        </w:tc>
        <w:tc>
          <w:tcPr>
            <w:tcW w:w="7287" w:type="dxa"/>
          </w:tcPr>
          <w:p w:rsidR="003932BF" w:rsidRPr="00633250" w:rsidRDefault="003932BF" w:rsidP="005B13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</w:tr>
    </w:tbl>
    <w:p w:rsidR="003932BF" w:rsidRPr="004665EF" w:rsidRDefault="003932BF" w:rsidP="003932BF"/>
    <w:p w:rsidR="003932BF" w:rsidRPr="00633250" w:rsidRDefault="003932BF" w:rsidP="003932BF">
      <w:pPr>
        <w:pStyle w:val="Legenda"/>
        <w:spacing w:after="120" w:line="280" w:lineRule="exact"/>
        <w:ind w:right="135"/>
        <w:rPr>
          <w:rFonts w:ascii="Arial" w:hAnsi="Arial" w:cs="Arial"/>
          <w:i w:val="0"/>
          <w:color w:val="000000" w:themeColor="text1"/>
        </w:rPr>
      </w:pPr>
      <w:r w:rsidRPr="00633250">
        <w:rPr>
          <w:rFonts w:ascii="Arial" w:hAnsi="Arial" w:cs="Arial"/>
          <w:i w:val="0"/>
          <w:color w:val="000000" w:themeColor="text1"/>
        </w:rPr>
        <w:t>Tab. 2 Odpady przetwarzane w ciągu roku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1179"/>
        <w:gridCol w:w="5528"/>
        <w:gridCol w:w="1701"/>
      </w:tblGrid>
      <w:tr w:rsidR="003932BF" w:rsidRPr="00633250" w:rsidTr="002817FE">
        <w:trPr>
          <w:trHeight w:val="316"/>
        </w:trPr>
        <w:tc>
          <w:tcPr>
            <w:tcW w:w="659" w:type="dxa"/>
          </w:tcPr>
          <w:p w:rsidR="003932BF" w:rsidRPr="00633250" w:rsidRDefault="003932BF" w:rsidP="005B13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79" w:type="dxa"/>
          </w:tcPr>
          <w:p w:rsidR="003932BF" w:rsidRPr="00633250" w:rsidRDefault="003932BF" w:rsidP="005B13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Kod opadu</w:t>
            </w:r>
          </w:p>
        </w:tc>
        <w:tc>
          <w:tcPr>
            <w:tcW w:w="5528" w:type="dxa"/>
          </w:tcPr>
          <w:p w:rsidR="003932BF" w:rsidRPr="00633250" w:rsidRDefault="003932BF" w:rsidP="005B13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  <w:tc>
          <w:tcPr>
            <w:tcW w:w="1701" w:type="dxa"/>
          </w:tcPr>
          <w:p w:rsidR="003932BF" w:rsidRPr="00633250" w:rsidRDefault="003932BF" w:rsidP="005B13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Ilość odpadów przetwarzanych w ciągu roku [Mg]</w:t>
            </w:r>
          </w:p>
        </w:tc>
      </w:tr>
      <w:tr w:rsidR="003932BF" w:rsidRPr="00633250" w:rsidTr="002817FE">
        <w:tc>
          <w:tcPr>
            <w:tcW w:w="659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179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16 06 04</w:t>
            </w:r>
          </w:p>
        </w:tc>
        <w:tc>
          <w:tcPr>
            <w:tcW w:w="5528" w:type="dxa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701" w:type="dxa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3000</w:t>
            </w:r>
          </w:p>
        </w:tc>
      </w:tr>
      <w:tr w:rsidR="003932BF" w:rsidRPr="00633250" w:rsidTr="002817FE">
        <w:tc>
          <w:tcPr>
            <w:tcW w:w="659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179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16 06 05</w:t>
            </w:r>
          </w:p>
        </w:tc>
        <w:tc>
          <w:tcPr>
            <w:tcW w:w="5528" w:type="dxa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Inne baterie akumulatorowe</w:t>
            </w:r>
          </w:p>
        </w:tc>
        <w:tc>
          <w:tcPr>
            <w:tcW w:w="1701" w:type="dxa"/>
          </w:tcPr>
          <w:p w:rsidR="003932BF" w:rsidRPr="00633250" w:rsidRDefault="003932BF" w:rsidP="005B1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3932BF" w:rsidRPr="00633250" w:rsidTr="002817FE">
        <w:tc>
          <w:tcPr>
            <w:tcW w:w="659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179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20 01 34</w:t>
            </w:r>
          </w:p>
        </w:tc>
        <w:tc>
          <w:tcPr>
            <w:tcW w:w="5528" w:type="dxa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1701" w:type="dxa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3000</w:t>
            </w:r>
          </w:p>
        </w:tc>
      </w:tr>
      <w:tr w:rsidR="003932BF" w:rsidRPr="00633250" w:rsidTr="002817FE">
        <w:tc>
          <w:tcPr>
            <w:tcW w:w="7366" w:type="dxa"/>
            <w:gridSpan w:val="3"/>
          </w:tcPr>
          <w:p w:rsidR="003932BF" w:rsidRPr="00633250" w:rsidRDefault="003932BF" w:rsidP="005B1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250">
              <w:rPr>
                <w:rFonts w:ascii="Arial" w:hAnsi="Arial" w:cs="Arial"/>
                <w:b/>
                <w:bCs/>
                <w:sz w:val="18"/>
                <w:szCs w:val="18"/>
              </w:rPr>
              <w:t>Ilość odpadów przewidzianych do przetworzenia w ciągu roku</w:t>
            </w:r>
          </w:p>
        </w:tc>
        <w:tc>
          <w:tcPr>
            <w:tcW w:w="1701" w:type="dxa"/>
          </w:tcPr>
          <w:p w:rsidR="003932BF" w:rsidRPr="00633250" w:rsidRDefault="003932BF" w:rsidP="005B1348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3250">
              <w:rPr>
                <w:b/>
                <w:bCs/>
                <w:color w:val="auto"/>
                <w:sz w:val="18"/>
                <w:szCs w:val="18"/>
              </w:rPr>
              <w:t>3000</w:t>
            </w:r>
          </w:p>
        </w:tc>
      </w:tr>
    </w:tbl>
    <w:p w:rsidR="003932BF" w:rsidRDefault="003932BF" w:rsidP="003932BF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</w:p>
    <w:p w:rsidR="003932BF" w:rsidRPr="003932BF" w:rsidRDefault="003932BF" w:rsidP="003932BF">
      <w:pPr>
        <w:ind w:left="0" w:firstLine="0"/>
        <w:rPr>
          <w:rFonts w:cstheme="minorHAnsi"/>
          <w:sz w:val="18"/>
          <w:szCs w:val="18"/>
        </w:rPr>
      </w:pPr>
      <w:r w:rsidRPr="003932BF">
        <w:rPr>
          <w:rFonts w:ascii="Arial" w:hAnsi="Arial" w:cs="Arial"/>
          <w:color w:val="000000" w:themeColor="text1"/>
          <w:sz w:val="18"/>
          <w:szCs w:val="18"/>
        </w:rPr>
        <w:t>Tab. 3 Odpady wytwarzane, powstałe w wyniku przetwarzania w ciągu roku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267"/>
        <w:gridCol w:w="5465"/>
        <w:gridCol w:w="1764"/>
      </w:tblGrid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67" w:type="dxa"/>
          </w:tcPr>
          <w:p w:rsidR="003932BF" w:rsidRPr="00633250" w:rsidRDefault="003932BF" w:rsidP="005B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Kod opadu</w:t>
            </w:r>
          </w:p>
        </w:tc>
        <w:tc>
          <w:tcPr>
            <w:tcW w:w="5465" w:type="dxa"/>
          </w:tcPr>
          <w:p w:rsidR="003932BF" w:rsidRPr="00633250" w:rsidRDefault="003932BF" w:rsidP="005B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  <w:tc>
          <w:tcPr>
            <w:tcW w:w="1764" w:type="dxa"/>
          </w:tcPr>
          <w:p w:rsidR="003932BF" w:rsidRPr="00633250" w:rsidRDefault="003932BF" w:rsidP="005B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hAnsi="Arial" w:cs="Arial"/>
                <w:sz w:val="18"/>
                <w:szCs w:val="18"/>
              </w:rPr>
              <w:t>Ilość odpadów wytwarzanych w wyniku przetwarzania w ciągu roku [Mg]</w:t>
            </w:r>
          </w:p>
        </w:tc>
      </w:tr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267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16  06 04</w:t>
            </w:r>
          </w:p>
        </w:tc>
        <w:tc>
          <w:tcPr>
            <w:tcW w:w="5465" w:type="dxa"/>
            <w:vAlign w:val="center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2950</w:t>
            </w:r>
          </w:p>
        </w:tc>
      </w:tr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267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5465" w:type="dxa"/>
            <w:vAlign w:val="center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Inne baterie akumulatorowe</w:t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2950</w:t>
            </w:r>
          </w:p>
        </w:tc>
      </w:tr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267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5465" w:type="dxa"/>
            <w:vAlign w:val="center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2950</w:t>
            </w:r>
          </w:p>
        </w:tc>
      </w:tr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267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16 08 03</w:t>
            </w:r>
          </w:p>
        </w:tc>
        <w:tc>
          <w:tcPr>
            <w:tcW w:w="5465" w:type="dxa"/>
            <w:vAlign w:val="center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2950</w:t>
            </w:r>
          </w:p>
        </w:tc>
      </w:tr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267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5465" w:type="dxa"/>
            <w:vAlign w:val="center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Elementy usunięte z ze zużytych urządzeń inne niż wymienione w 16 02 15</w:t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3932BF" w:rsidRPr="00633250" w:rsidTr="005B1348">
        <w:tc>
          <w:tcPr>
            <w:tcW w:w="571" w:type="dxa"/>
          </w:tcPr>
          <w:p w:rsidR="003932BF" w:rsidRPr="00633250" w:rsidRDefault="003932BF" w:rsidP="005B1348">
            <w:pPr>
              <w:pStyle w:val="Default"/>
              <w:rPr>
                <w:color w:val="auto"/>
                <w:sz w:val="18"/>
                <w:szCs w:val="18"/>
              </w:rPr>
            </w:pPr>
            <w:r w:rsidRPr="00633250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267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5465" w:type="dxa"/>
            <w:vAlign w:val="center"/>
          </w:tcPr>
          <w:p w:rsidR="003932BF" w:rsidRPr="00633250" w:rsidRDefault="003932BF" w:rsidP="005B1348">
            <w:pPr>
              <w:rPr>
                <w:rFonts w:ascii="Arial" w:hAnsi="Arial" w:cs="Arial"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3250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3932BF" w:rsidRPr="00633250" w:rsidTr="005B1348">
        <w:tc>
          <w:tcPr>
            <w:tcW w:w="7303" w:type="dxa"/>
            <w:gridSpan w:val="3"/>
          </w:tcPr>
          <w:p w:rsidR="003932BF" w:rsidRPr="00633250" w:rsidRDefault="003932BF" w:rsidP="005B134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3250">
              <w:rPr>
                <w:rFonts w:ascii="Arial" w:eastAsia="Times New Roman" w:hAnsi="Arial" w:cs="Arial"/>
                <w:b/>
                <w:sz w:val="18"/>
                <w:szCs w:val="18"/>
              </w:rPr>
              <w:t>Ilość odpadów przewidzianych do wytworzenia w ciągu roku</w:t>
            </w:r>
            <w:r w:rsidRPr="00633250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64" w:type="dxa"/>
            <w:vAlign w:val="center"/>
          </w:tcPr>
          <w:p w:rsidR="003932BF" w:rsidRPr="00633250" w:rsidRDefault="003932BF" w:rsidP="005B1348">
            <w:pPr>
              <w:pStyle w:val="Default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33250">
              <w:rPr>
                <w:rFonts w:eastAsia="Times New Roman"/>
                <w:b/>
                <w:sz w:val="18"/>
                <w:szCs w:val="18"/>
                <w:lang w:eastAsia="pl-PL"/>
              </w:rPr>
              <w:t>3000</w:t>
            </w:r>
          </w:p>
        </w:tc>
      </w:tr>
    </w:tbl>
    <w:p w:rsidR="003932BF" w:rsidRDefault="003932BF" w:rsidP="003932BF">
      <w:pPr>
        <w:spacing w:after="0" w:line="276" w:lineRule="auto"/>
        <w:ind w:left="0" w:firstLine="0"/>
        <w:rPr>
          <w:rFonts w:cs="Arial"/>
          <w:sz w:val="18"/>
          <w:szCs w:val="18"/>
        </w:rPr>
      </w:pPr>
    </w:p>
    <w:p w:rsidR="006833F0" w:rsidRPr="006833F0" w:rsidRDefault="006833F0" w:rsidP="006833F0">
      <w:pPr>
        <w:tabs>
          <w:tab w:val="left" w:pos="8647"/>
        </w:tabs>
        <w:spacing w:after="120" w:line="276" w:lineRule="auto"/>
        <w:ind w:right="-142"/>
        <w:rPr>
          <w:rFonts w:ascii="Arial" w:hAnsi="Arial" w:cs="Arial"/>
          <w:sz w:val="18"/>
          <w:szCs w:val="18"/>
        </w:rPr>
      </w:pPr>
      <w:r w:rsidRPr="006833F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W związku z realizacją i eksploatacją planowanego przedsięwzięcia nie przewiduje się oddziaływania </w:t>
      </w:r>
      <w:r w:rsidRPr="006833F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br/>
        <w:t>o charakterze transgranicznym. Odległość terenu przedmiotowej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inwestycji w linii prostej od granicy wynosi około 21 km.</w:t>
      </w:r>
      <w:r w:rsidRPr="006833F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Przewidywane oddziaływanie będzie ograniczone do terenu inwestycyjnego, w związku z czym wszelkie uciążliwości związane z eksploatacją przedsięwzięcia nie będą wykraczały poza obszar kraju. </w:t>
      </w:r>
      <w:r w:rsidRPr="006833F0">
        <w:rPr>
          <w:rFonts w:ascii="Arial" w:hAnsi="Arial" w:cs="Arial"/>
          <w:sz w:val="18"/>
          <w:szCs w:val="18"/>
        </w:rPr>
        <w:t>Realizacja oraz użytkowanie przedmiotowej inwestycji nie będzie źródłem emisji pól elektromagnetycznych.</w:t>
      </w:r>
    </w:p>
    <w:p w:rsidR="003932BF" w:rsidRDefault="003932BF" w:rsidP="003932BF">
      <w:pPr>
        <w:spacing w:after="0" w:line="276" w:lineRule="auto"/>
        <w:ind w:left="0"/>
        <w:rPr>
          <w:rFonts w:ascii="Arial" w:hAnsi="Arial" w:cs="Arial"/>
          <w:sz w:val="18"/>
          <w:szCs w:val="18"/>
        </w:rPr>
      </w:pPr>
    </w:p>
    <w:p w:rsidR="003932BF" w:rsidRDefault="003932BF" w:rsidP="003932BF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</w:p>
    <w:p w:rsidR="003932BF" w:rsidRPr="009309AB" w:rsidRDefault="003932BF" w:rsidP="003932BF">
      <w:pPr>
        <w:spacing w:after="120" w:line="276" w:lineRule="auto"/>
        <w:ind w:left="11" w:right="11" w:firstLine="6"/>
        <w:rPr>
          <w:rFonts w:ascii="Arial" w:hAnsi="Arial" w:cs="Arial"/>
          <w:sz w:val="18"/>
          <w:szCs w:val="18"/>
        </w:rPr>
      </w:pPr>
    </w:p>
    <w:p w:rsidR="003932BF" w:rsidRDefault="003932BF" w:rsidP="00A74966">
      <w:pPr>
        <w:spacing w:line="276" w:lineRule="auto"/>
        <w:ind w:left="0" w:right="-6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C8700A" w:rsidRPr="005F6B08" w:rsidRDefault="00C8700A" w:rsidP="00A74966">
      <w:pPr>
        <w:spacing w:line="276" w:lineRule="auto"/>
        <w:ind w:left="0" w:right="-6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p w:rsidR="00C715B6" w:rsidRDefault="00C715B6" w:rsidP="00A74966">
      <w:pPr>
        <w:spacing w:line="276" w:lineRule="auto"/>
        <w:ind w:left="0" w:right="-6" w:firstLine="0"/>
        <w:rPr>
          <w:rFonts w:ascii="Arial" w:hAnsi="Arial" w:cs="Arial"/>
          <w:color w:val="FF0000"/>
          <w:sz w:val="18"/>
          <w:szCs w:val="18"/>
        </w:rPr>
      </w:pPr>
    </w:p>
    <w:sectPr w:rsidR="00C715B6" w:rsidSect="008712CD">
      <w:headerReference w:type="default" r:id="rId16"/>
      <w:headerReference w:type="first" r:id="rId17"/>
      <w:pgSz w:w="11900" w:h="16820"/>
      <w:pgMar w:top="1417" w:right="1417" w:bottom="1417" w:left="1417" w:header="708" w:footer="708" w:gutter="0"/>
      <w:pgNumType w:start="1" w:chapStyle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48" w:rsidRDefault="005B1348" w:rsidP="003C6903">
      <w:pPr>
        <w:spacing w:after="0" w:line="240" w:lineRule="auto"/>
      </w:pPr>
      <w:r>
        <w:separator/>
      </w:r>
    </w:p>
  </w:endnote>
  <w:endnote w:type="continuationSeparator" w:id="0">
    <w:p w:rsidR="005B1348" w:rsidRDefault="005B1348" w:rsidP="003C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48" w:rsidRDefault="005B1348" w:rsidP="003C6903">
      <w:pPr>
        <w:spacing w:after="0" w:line="240" w:lineRule="auto"/>
      </w:pPr>
      <w:r>
        <w:separator/>
      </w:r>
    </w:p>
  </w:footnote>
  <w:footnote w:type="continuationSeparator" w:id="0">
    <w:p w:rsidR="005B1348" w:rsidRDefault="005B1348" w:rsidP="003C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060446"/>
      <w:docPartObj>
        <w:docPartGallery w:val="Page Numbers (Top of Page)"/>
        <w:docPartUnique/>
      </w:docPartObj>
    </w:sdtPr>
    <w:sdtEndPr/>
    <w:sdtContent>
      <w:p w:rsidR="005B1348" w:rsidRDefault="005B134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86">
          <w:rPr>
            <w:noProof/>
          </w:rPr>
          <w:t>10</w:t>
        </w:r>
        <w:r>
          <w:fldChar w:fldCharType="end"/>
        </w:r>
      </w:p>
    </w:sdtContent>
  </w:sdt>
  <w:p w:rsidR="005B1348" w:rsidRDefault="005B1348" w:rsidP="00A63FEB">
    <w:pPr>
      <w:pStyle w:val="Nagwek"/>
      <w:tabs>
        <w:tab w:val="clear" w:pos="4536"/>
        <w:tab w:val="clear" w:pos="9072"/>
        <w:tab w:val="left" w:pos="40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469700"/>
      <w:docPartObj>
        <w:docPartGallery w:val="Page Numbers (Top of Page)"/>
        <w:docPartUnique/>
      </w:docPartObj>
    </w:sdtPr>
    <w:sdtEndPr/>
    <w:sdtContent>
      <w:p w:rsidR="005B1348" w:rsidRDefault="005B134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348" w:rsidRDefault="005B1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17"/>
    <w:multiLevelType w:val="hybridMultilevel"/>
    <w:tmpl w:val="32020568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9733F06"/>
    <w:multiLevelType w:val="hybridMultilevel"/>
    <w:tmpl w:val="154C477E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EC430F4"/>
    <w:multiLevelType w:val="hybridMultilevel"/>
    <w:tmpl w:val="B9662AFE"/>
    <w:lvl w:ilvl="0" w:tplc="C4BA9790">
      <w:start w:val="1"/>
      <w:numFmt w:val="decimal"/>
      <w:lvlText w:val="%1."/>
      <w:lvlJc w:val="left"/>
      <w:pPr>
        <w:ind w:left="47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321C6E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C42FE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25EA6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06706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8B382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E950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4D58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CD2C0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1287C"/>
    <w:multiLevelType w:val="hybridMultilevel"/>
    <w:tmpl w:val="8D68685A"/>
    <w:lvl w:ilvl="0" w:tplc="BB94A220">
      <w:start w:val="1"/>
      <w:numFmt w:val="decimal"/>
      <w:lvlText w:val="%1.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D0A8D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8AB8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C7C60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367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6B77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8FF5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EE4F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751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CC6D89"/>
    <w:multiLevelType w:val="hybridMultilevel"/>
    <w:tmpl w:val="D32E110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82E3193"/>
    <w:multiLevelType w:val="hybridMultilevel"/>
    <w:tmpl w:val="2C24DFCA"/>
    <w:lvl w:ilvl="0" w:tplc="CE3EB9D2">
      <w:start w:val="5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74A72C">
      <w:start w:val="1"/>
      <w:numFmt w:val="lowerLetter"/>
      <w:lvlText w:val="%2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D9588C10">
      <w:start w:val="1"/>
      <w:numFmt w:val="lowerRoman"/>
      <w:lvlText w:val="%3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BE4D082">
      <w:start w:val="1"/>
      <w:numFmt w:val="decimal"/>
      <w:lvlText w:val="%4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A17A2DFE">
      <w:start w:val="1"/>
      <w:numFmt w:val="lowerLetter"/>
      <w:lvlText w:val="%5"/>
      <w:lvlJc w:val="left"/>
      <w:pPr>
        <w:ind w:left="7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47ACA86">
      <w:start w:val="1"/>
      <w:numFmt w:val="lowerRoman"/>
      <w:lvlText w:val="%6"/>
      <w:lvlJc w:val="left"/>
      <w:pPr>
        <w:ind w:left="7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E82E084">
      <w:start w:val="1"/>
      <w:numFmt w:val="decimal"/>
      <w:lvlText w:val="%7"/>
      <w:lvlJc w:val="left"/>
      <w:pPr>
        <w:ind w:left="8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678CC56">
      <w:start w:val="1"/>
      <w:numFmt w:val="lowerLetter"/>
      <w:lvlText w:val="%8"/>
      <w:lvlJc w:val="left"/>
      <w:pPr>
        <w:ind w:left="9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FC65DF6">
      <w:start w:val="1"/>
      <w:numFmt w:val="lowerRoman"/>
      <w:lvlText w:val="%9"/>
      <w:lvlJc w:val="left"/>
      <w:pPr>
        <w:ind w:left="10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263D1A"/>
    <w:multiLevelType w:val="hybridMultilevel"/>
    <w:tmpl w:val="A4BA000E"/>
    <w:lvl w:ilvl="0" w:tplc="EB40BA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E675605"/>
    <w:multiLevelType w:val="hybridMultilevel"/>
    <w:tmpl w:val="9A2ABC0A"/>
    <w:lvl w:ilvl="0" w:tplc="EB40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621E"/>
    <w:multiLevelType w:val="hybridMultilevel"/>
    <w:tmpl w:val="A79228B2"/>
    <w:lvl w:ilvl="0" w:tplc="EB40BA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D8737D8"/>
    <w:multiLevelType w:val="hybridMultilevel"/>
    <w:tmpl w:val="298C5B22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57279FF"/>
    <w:multiLevelType w:val="hybridMultilevel"/>
    <w:tmpl w:val="204C4954"/>
    <w:lvl w:ilvl="0" w:tplc="EB40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AC0"/>
    <w:multiLevelType w:val="hybridMultilevel"/>
    <w:tmpl w:val="1908CE2E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9AA4E6C"/>
    <w:multiLevelType w:val="hybridMultilevel"/>
    <w:tmpl w:val="A508B70A"/>
    <w:lvl w:ilvl="0" w:tplc="93D85A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165552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428B2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CB1A0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0E6B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27CCA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AAE40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CF08C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01462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03D02"/>
    <w:multiLevelType w:val="hybridMultilevel"/>
    <w:tmpl w:val="4FFA80A4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5A5A746F"/>
    <w:multiLevelType w:val="hybridMultilevel"/>
    <w:tmpl w:val="3A40F0EC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69EA7BBC"/>
    <w:multiLevelType w:val="hybridMultilevel"/>
    <w:tmpl w:val="813C7C1C"/>
    <w:lvl w:ilvl="0" w:tplc="EB40BAF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A285C98"/>
    <w:multiLevelType w:val="hybridMultilevel"/>
    <w:tmpl w:val="38B49D66"/>
    <w:lvl w:ilvl="0" w:tplc="EB40BAF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6B0028CF"/>
    <w:multiLevelType w:val="hybridMultilevel"/>
    <w:tmpl w:val="6BF2AC00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6F6E2D3E"/>
    <w:multiLevelType w:val="hybridMultilevel"/>
    <w:tmpl w:val="A888DB7A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703029EF"/>
    <w:multiLevelType w:val="hybridMultilevel"/>
    <w:tmpl w:val="D480B4B2"/>
    <w:lvl w:ilvl="0" w:tplc="EB40BAF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0F77EC7"/>
    <w:multiLevelType w:val="hybridMultilevel"/>
    <w:tmpl w:val="EAEE527E"/>
    <w:lvl w:ilvl="0" w:tplc="3BD2574C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C222B8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800F4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0806C8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E0DE64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921184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52EB76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825F0E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AE33B4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A64D56"/>
    <w:multiLevelType w:val="hybridMultilevel"/>
    <w:tmpl w:val="D3A85E84"/>
    <w:lvl w:ilvl="0" w:tplc="EB40BAF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7460B77"/>
    <w:multiLevelType w:val="hybridMultilevel"/>
    <w:tmpl w:val="C40CBBF2"/>
    <w:lvl w:ilvl="0" w:tplc="A43AE87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74BE4"/>
    <w:multiLevelType w:val="hybridMultilevel"/>
    <w:tmpl w:val="7916B65A"/>
    <w:lvl w:ilvl="0" w:tplc="301E3512">
      <w:start w:val="1"/>
      <w:numFmt w:val="decimal"/>
      <w:lvlText w:val="%1."/>
      <w:lvlJc w:val="left"/>
      <w:pPr>
        <w:ind w:left="38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106F4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E6F5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E5160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8BB4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580E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C2BB6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866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EBBF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0E426C"/>
    <w:multiLevelType w:val="hybridMultilevel"/>
    <w:tmpl w:val="CCF20B84"/>
    <w:lvl w:ilvl="0" w:tplc="27E86316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C22BC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8C848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CFB2A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0139A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2C17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40C16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0D8C0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21D58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4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9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6"/>
  </w:num>
  <w:num w:numId="19">
    <w:abstractNumId w:val="10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A"/>
    <w:rsid w:val="00084444"/>
    <w:rsid w:val="00090B56"/>
    <w:rsid w:val="000B282C"/>
    <w:rsid w:val="00106B13"/>
    <w:rsid w:val="0011058D"/>
    <w:rsid w:val="00116817"/>
    <w:rsid w:val="001712D1"/>
    <w:rsid w:val="001814B3"/>
    <w:rsid w:val="0018407C"/>
    <w:rsid w:val="00195055"/>
    <w:rsid w:val="001D2065"/>
    <w:rsid w:val="001D4BF2"/>
    <w:rsid w:val="001E0E10"/>
    <w:rsid w:val="001E1084"/>
    <w:rsid w:val="00214941"/>
    <w:rsid w:val="00217613"/>
    <w:rsid w:val="00231AF1"/>
    <w:rsid w:val="002817FE"/>
    <w:rsid w:val="00332C52"/>
    <w:rsid w:val="0037147A"/>
    <w:rsid w:val="003932BF"/>
    <w:rsid w:val="003C6903"/>
    <w:rsid w:val="003E34E1"/>
    <w:rsid w:val="004215DB"/>
    <w:rsid w:val="00454C68"/>
    <w:rsid w:val="00457DBC"/>
    <w:rsid w:val="00493B56"/>
    <w:rsid w:val="004C54F2"/>
    <w:rsid w:val="004E3EFB"/>
    <w:rsid w:val="004F69ED"/>
    <w:rsid w:val="00520170"/>
    <w:rsid w:val="0055189A"/>
    <w:rsid w:val="005B1348"/>
    <w:rsid w:val="005F6B08"/>
    <w:rsid w:val="00613EEE"/>
    <w:rsid w:val="00633250"/>
    <w:rsid w:val="00641AE5"/>
    <w:rsid w:val="00653ADD"/>
    <w:rsid w:val="00660D7D"/>
    <w:rsid w:val="006833F0"/>
    <w:rsid w:val="006B169C"/>
    <w:rsid w:val="006D42ED"/>
    <w:rsid w:val="006E446A"/>
    <w:rsid w:val="006E653F"/>
    <w:rsid w:val="00734FD6"/>
    <w:rsid w:val="007A6F86"/>
    <w:rsid w:val="007C072D"/>
    <w:rsid w:val="008170FF"/>
    <w:rsid w:val="008712CD"/>
    <w:rsid w:val="008727E0"/>
    <w:rsid w:val="008967DB"/>
    <w:rsid w:val="008D3A43"/>
    <w:rsid w:val="00922DE8"/>
    <w:rsid w:val="00926ABA"/>
    <w:rsid w:val="009309AB"/>
    <w:rsid w:val="009839C9"/>
    <w:rsid w:val="009E4405"/>
    <w:rsid w:val="00A11F8A"/>
    <w:rsid w:val="00A21550"/>
    <w:rsid w:val="00A43DE9"/>
    <w:rsid w:val="00A63FEB"/>
    <w:rsid w:val="00A74966"/>
    <w:rsid w:val="00A9575C"/>
    <w:rsid w:val="00A96B80"/>
    <w:rsid w:val="00AB1F89"/>
    <w:rsid w:val="00AC7993"/>
    <w:rsid w:val="00AE64E1"/>
    <w:rsid w:val="00B60866"/>
    <w:rsid w:val="00B640D7"/>
    <w:rsid w:val="00B658C8"/>
    <w:rsid w:val="00B75512"/>
    <w:rsid w:val="00B94EAA"/>
    <w:rsid w:val="00BD7666"/>
    <w:rsid w:val="00C33256"/>
    <w:rsid w:val="00C715B6"/>
    <w:rsid w:val="00C8700A"/>
    <w:rsid w:val="00CA1544"/>
    <w:rsid w:val="00CA1A32"/>
    <w:rsid w:val="00CB007D"/>
    <w:rsid w:val="00CB2F6D"/>
    <w:rsid w:val="00CF647E"/>
    <w:rsid w:val="00D63774"/>
    <w:rsid w:val="00D76181"/>
    <w:rsid w:val="00DA05B1"/>
    <w:rsid w:val="00DB092D"/>
    <w:rsid w:val="00DB7C69"/>
    <w:rsid w:val="00E02849"/>
    <w:rsid w:val="00E0403C"/>
    <w:rsid w:val="00E55DD8"/>
    <w:rsid w:val="00E861B7"/>
    <w:rsid w:val="00E94B57"/>
    <w:rsid w:val="00EA4DE7"/>
    <w:rsid w:val="00EC37A0"/>
    <w:rsid w:val="00EE57DE"/>
    <w:rsid w:val="00F30A74"/>
    <w:rsid w:val="00F356ED"/>
    <w:rsid w:val="00F4304D"/>
    <w:rsid w:val="00F46D9C"/>
    <w:rsid w:val="00F51536"/>
    <w:rsid w:val="00F54774"/>
    <w:rsid w:val="00FA3847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00BAA6"/>
  <w15:docId w15:val="{7E8E61A1-CE69-4CE9-B65E-C0E65E8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" w:line="227" w:lineRule="auto"/>
      <w:ind w:left="50" w:firstLine="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0"/>
      <w:ind w:right="417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2" w:line="220" w:lineRule="auto"/>
      <w:ind w:left="2802" w:right="2763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2" w:line="220" w:lineRule="auto"/>
      <w:ind w:left="2802" w:right="2763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53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90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90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714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37147A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rsid w:val="001E0E10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E0E10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0B0F-7927-4601-B4B6-3333F300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14</Pages>
  <Words>7997</Words>
  <Characters>47988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KMBT_C284-20221012101853</vt:lpstr>
    </vt:vector>
  </TitlesOfParts>
  <Company/>
  <LinksUpToDate>false</LinksUpToDate>
  <CharactersWithSpaces>55874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KMBT_C284-20221012101853</dc:title>
  <dc:subject/>
  <dc:creator>Marciniak Katarzyna</dc:creator>
  <cp:keywords/>
  <cp:lastModifiedBy>Marciniak Katarzyna</cp:lastModifiedBy>
  <cp:revision>23</cp:revision>
  <cp:lastPrinted>2023-05-05T12:34:00Z</cp:lastPrinted>
  <dcterms:created xsi:type="dcterms:W3CDTF">2022-10-12T07:53:00Z</dcterms:created>
  <dcterms:modified xsi:type="dcterms:W3CDTF">2023-05-31T09:53:00Z</dcterms:modified>
</cp:coreProperties>
</file>